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jc w:val="center"/>
      </w:pPr>
      <w:r>
        <w:rPr>
          <w:rFonts w:ascii="Arial" w:cs="Arial" w:eastAsia="Arial" w:hAnsi="Arial"/>
          <w:b/>
          <w:bCs/>
          <w:color w:val="1B365D"/>
          <w:spacing w:val="400"/>
          <w:sz w:val="28"/>
          <w:szCs w:val="28"/>
        </w:rPr>
        <w:t xml:space="preserve">GUVERNUL ROMÂNIEI</w:t>
      </w:r>
    </w:p>
    <w:p>
      <w:pPr>
        <w:spacing w:after="60"/>
        <w:jc w:val="center"/>
      </w:pPr>
      <w:r>
        <w:rPr>
          <w:rFonts w:ascii="Arial" w:cs="Arial" w:eastAsia="Arial" w:hAnsi="Arial"/>
          <w:b/>
          <w:bCs/>
          <w:color w:val="1B365D"/>
          <w:sz w:val="48"/>
          <w:szCs w:val="48"/>
        </w:rPr>
        <w:t xml:space="preserve">PROGRAM DE GUVERNARE</w:t>
      </w:r>
    </w:p>
    <w:p>
      <w:pPr>
        <w:spacing w:after="280"/>
        <w:jc w:val="center"/>
      </w:pPr>
      <w:r>
        <w:rPr>
          <w:rFonts w:ascii="Arial" w:cs="Arial" w:eastAsia="Arial" w:hAnsi="Arial"/>
          <w:b/>
          <w:bCs/>
          <w:color w:val="8B6914"/>
          <w:sz w:val="36"/>
          <w:szCs w:val="36"/>
        </w:rPr>
        <w:t xml:space="preserve">2026 – 2028</w:t>
      </w:r>
    </w:p>
    <w:p>
      <w:pPr>
        <w:pBdr>
          <w:top w:val="single" w:color="1B365D" w:sz="12" w:space="1"/>
          <w:bottom w:val="single" w:color="1B365D" w:sz="12" w:space="1"/>
        </w:pBdr>
        <w:spacing w:after="80"/>
        <w:jc w:val="center"/>
      </w:pPr>
      <w:r>
        <w:rPr>
          <w:rFonts w:ascii="Arial" w:cs="Arial" w:eastAsia="Arial" w:hAnsi="Arial"/>
          <w:i/>
          <w:iCs/>
          <w:color w:val="0E4D5C"/>
          <w:sz w:val="22"/>
          <w:szCs w:val="22"/>
        </w:rPr>
        <w:t xml:space="preserve">  Coaliția pentru Reformă, Competitivitate și Coeziune  </w:t>
      </w:r>
    </w:p>
    <w:p>
      <w:pPr>
        <w:spacing w:after="40" w:before="200"/>
        <w:jc w:val="center"/>
      </w:pPr>
      <w:r>
        <w:rPr>
          <w:rFonts w:ascii="Arial" w:cs="Arial" w:eastAsia="Arial" w:hAnsi="Arial"/>
          <w:b/>
          <w:bCs/>
          <w:color w:val="1B365D"/>
          <w:sz w:val="22"/>
          <w:szCs w:val="22"/>
        </w:rPr>
        <w:t xml:space="preserve">Partidul Național Liberal</w:t>
      </w:r>
    </w:p>
    <w:p>
      <w:pPr>
        <w:spacing w:after="40"/>
        <w:jc w:val="center"/>
      </w:pPr>
      <w:r>
        <w:rPr>
          <w:rFonts w:ascii="Arial" w:cs="Arial" w:eastAsia="Arial" w:hAnsi="Arial"/>
          <w:b/>
          <w:bCs/>
          <w:color w:val="1B365D"/>
          <w:sz w:val="22"/>
          <w:szCs w:val="22"/>
        </w:rPr>
        <w:t xml:space="preserve">Uniunea Salvați România</w:t>
      </w:r>
    </w:p>
    <w:p>
      <w:pPr>
        <w:spacing w:after="360"/>
        <w:jc w:val="center"/>
      </w:pPr>
      <w:r>
        <w:rPr>
          <w:rFonts w:ascii="Arial" w:cs="Arial" w:eastAsia="Arial" w:hAnsi="Arial"/>
          <w:b/>
          <w:bCs/>
          <w:color w:val="1B365D"/>
          <w:sz w:val="22"/>
          <w:szCs w:val="22"/>
        </w:rPr>
        <w:t xml:space="preserve">Uniunea Democrată Maghiară din România</w:t>
      </w:r>
    </w:p>
    <w:p>
      <w:pPr>
        <w:spacing w:after="400" w:before="0" w:line="276"/>
        <w:jc w:val="center"/>
      </w:pPr>
      <w:r>
        <w:rPr>
          <w:rFonts w:ascii="Georgia" w:cs="Georgia" w:eastAsia="Georgia" w:hAnsi="Georgia"/>
          <w:i/>
          <w:iCs/>
          <w:color w:val="222222"/>
          <w:sz w:val="22"/>
          <w:szCs w:val="22"/>
        </w:rPr>
        <w:t xml:space="preserve">Un stat mai subțire și mai capabil. O economie care recompensează munca. O justiție independentă. Drepturi egale pentru toți cetățenii, inclusiv pentru comunitățile naționale. O Românie ferm ancorată în Uniunea Europeană și în NATO.</w:t>
      </w:r>
    </w:p>
    <w:p>
      <w:pPr>
        <w:spacing w:after="0"/>
        <w:jc w:val="center"/>
      </w:pPr>
      <w:r>
        <w:rPr>
          <w:rFonts w:ascii="Arial" w:cs="Arial" w:eastAsia="Arial" w:hAnsi="Arial"/>
          <w:b w:val="false"/>
          <w:bCs w:val="false"/>
          <w:color w:val="666666"/>
          <w:sz w:val="20"/>
          <w:szCs w:val="20"/>
        </w:rPr>
        <w:t xml:space="preserve">București, septembrie 2026</w:t>
      </w:r>
    </w:p>
    <w:p>
      <w:pPr>
        <w:pStyle w:val="Heading1"/>
        <w:pBdr>
          <w:bottom w:val="single" w:color="1B365D" w:sz="12" w:space="8"/>
        </w:pBdr>
        <w:spacing w:after="200" w:before="400"/>
      </w:pPr>
      <w:r>
        <w:rPr>
          <w:rFonts w:ascii="Arial" w:cs="Arial" w:eastAsia="Arial" w:hAnsi="Arial"/>
          <w:b/>
          <w:bCs/>
          <w:color w:val="1B365D"/>
          <w:sz w:val="32"/>
          <w:szCs w:val="32"/>
        </w:rPr>
        <w:t xml:space="preserve">I. Preambul și pactul de coaliție</w:t>
      </w:r>
    </w:p>
    <w:p>
      <w:pPr>
        <w:spacing w:after="160" w:before="0" w:line="276"/>
        <w:jc w:val="both"/>
      </w:pPr>
      <w:r>
        <w:rPr>
          <w:rFonts w:ascii="Georgia" w:cs="Georgia" w:eastAsia="Georgia" w:hAnsi="Georgia"/>
          <w:color w:val="222222"/>
          <w:sz w:val="22"/>
          <w:szCs w:val="22"/>
        </w:rPr>
        <w:t xml:space="preserve">România are nevoie de un guvern care să continue consolidarea fiscală începută, să deblocheze investițiile și să reformeze statul fără să sacrifice coeziunea socială sau drepturile comunităților. Coaliția PNL–USR–UDMR se constituie pe un pact de responsabilitate, nu pe un pact de împărțire a funcțiilor.</w:t>
      </w:r>
    </w:p>
    <w:p>
      <w:pPr>
        <w:spacing w:after="160" w:before="0" w:line="276"/>
        <w:jc w:val="both"/>
      </w:pPr>
      <w:r>
        <w:rPr>
          <w:rFonts w:ascii="Georgia" w:cs="Georgia" w:eastAsia="Georgia" w:hAnsi="Georgia"/>
          <w:color w:val="222222"/>
          <w:sz w:val="22"/>
          <w:szCs w:val="22"/>
        </w:rPr>
        <w:t xml:space="preserve">Cele trei formațiuni vin din familii politice înrudite, dar nu identice. PNL aduce tradiția liberală, prioritatea pentru infrastructură, energie și predictibilitate fiscală. USR aduce agenda de integritate, digitalizare, control civil asupra instituțiilor de forță și meritocrație. UDMR aduce reprezentarea comunității maghiare, sensibilitatea pentru administrația locală, educația în limba maternă și dezvoltarea regională a Transilvaniei. Programul de față nu anulează aceste identități: le pune într-un cadru comun de interese.</w:t>
      </w:r>
    </w:p>
    <w:p>
      <w:pPr>
        <w:pStyle w:val="Heading2"/>
        <w:spacing w:after="120" w:before="280"/>
      </w:pPr>
      <w:r>
        <w:rPr>
          <w:rFonts w:ascii="Arial" w:cs="Arial" w:eastAsia="Arial" w:hAnsi="Arial"/>
          <w:b/>
          <w:bCs/>
          <w:color w:val="0E4D5C"/>
          <w:sz w:val="26"/>
          <w:szCs w:val="26"/>
        </w:rPr>
        <w:t xml:space="preserve">Cele cinci principii ale pactului</w:t>
      </w:r>
    </w:p>
    <w:p>
      <w:pPr>
        <w:pStyle w:val="ListParagraph"/>
        <w:numPr>
          <w:ilvl w:val="0"/>
          <w:numId w:val="2"/>
        </w:numPr>
        <w:spacing w:after="80" w:line="276"/>
      </w:pPr>
      <w:r>
        <w:rPr>
          <w:rFonts w:ascii="Georgia" w:cs="Georgia" w:eastAsia="Georgia" w:hAnsi="Georgia"/>
          <w:color w:val="222222"/>
          <w:sz w:val="21"/>
          <w:szCs w:val="21"/>
        </w:rPr>
        <w:t xml:space="preserve">Predictibilitate fiscală: nicio taxă nouă în 2027; cota unică se păstrează; orice modificare a Codului fiscal se anunță cu cel puțin șase luni înainte.</w:t>
      </w:r>
    </w:p>
    <w:p>
      <w:pPr>
        <w:pStyle w:val="ListParagraph"/>
        <w:numPr>
          <w:ilvl w:val="0"/>
          <w:numId w:val="2"/>
        </w:numPr>
        <w:spacing w:after="80" w:line="276"/>
      </w:pPr>
      <w:r>
        <w:rPr>
          <w:rFonts w:ascii="Georgia" w:cs="Georgia" w:eastAsia="Georgia" w:hAnsi="Georgia"/>
          <w:color w:val="222222"/>
          <w:sz w:val="21"/>
          <w:szCs w:val="21"/>
        </w:rPr>
        <w:t xml:space="preserve">Reformă a statului cu economii măsurabile: comasări, audit funcțional, digitalizare. Jumătate din economiile structurale, începând cu iulie 2027, se întorc către scăderea taxelor pe muncă.</w:t>
      </w:r>
    </w:p>
    <w:p>
      <w:pPr>
        <w:pStyle w:val="ListParagraph"/>
        <w:numPr>
          <w:ilvl w:val="0"/>
          <w:numId w:val="2"/>
        </w:numPr>
        <w:spacing w:after="80" w:line="276"/>
      </w:pPr>
      <w:r>
        <w:rPr>
          <w:rFonts w:ascii="Georgia" w:cs="Georgia" w:eastAsia="Georgia" w:hAnsi="Georgia"/>
          <w:color w:val="222222"/>
          <w:sz w:val="21"/>
          <w:szCs w:val="21"/>
        </w:rPr>
        <w:t xml:space="preserve">Stat de drept fără excepții: independența justiției, accelerarea dosarelor, control civil real asupra serviciilor de informații, zero toleranță pentru corupție.</w:t>
      </w:r>
    </w:p>
    <w:p>
      <w:pPr>
        <w:pStyle w:val="ListParagraph"/>
        <w:numPr>
          <w:ilvl w:val="0"/>
          <w:numId w:val="2"/>
        </w:numPr>
        <w:spacing w:after="80" w:line="276"/>
      </w:pPr>
      <w:r>
        <w:rPr>
          <w:rFonts w:ascii="Georgia" w:cs="Georgia" w:eastAsia="Georgia" w:hAnsi="Georgia"/>
          <w:color w:val="222222"/>
          <w:sz w:val="21"/>
          <w:szCs w:val="21"/>
        </w:rPr>
        <w:t xml:space="preserve">Egalitate în drepturi și respect pentru diversitate: drepturile lingvistice și culturale deja dobândite sunt garantate; educația în limba maternă este parte a sistemului public, nu un privilegiu.</w:t>
      </w:r>
    </w:p>
    <w:p>
      <w:pPr>
        <w:pStyle w:val="ListParagraph"/>
        <w:numPr>
          <w:ilvl w:val="0"/>
          <w:numId w:val="2"/>
        </w:numPr>
        <w:spacing w:after="80" w:line="276"/>
      </w:pPr>
      <w:r>
        <w:rPr>
          <w:rFonts w:ascii="Georgia" w:cs="Georgia" w:eastAsia="Georgia" w:hAnsi="Georgia"/>
          <w:color w:val="222222"/>
          <w:sz w:val="21"/>
          <w:szCs w:val="21"/>
        </w:rPr>
        <w:t xml:space="preserve">Ancorare euro-atlantică: absorbție accelerată a fondurilor europene, respectarea PNRR și a planului fiscal-structural, consolidarea rolului României în UE și NATO.</w:t>
      </w:r>
    </w:p>
    <w:p>
      <w:pPr>
        <w:pStyle w:val="Heading2"/>
        <w:spacing w:after="120" w:before="280"/>
      </w:pPr>
      <w:r>
        <w:rPr>
          <w:rFonts w:ascii="Arial" w:cs="Arial" w:eastAsia="Arial" w:hAnsi="Arial"/>
          <w:b/>
          <w:bCs/>
          <w:color w:val="0E4D5C"/>
          <w:sz w:val="26"/>
          <w:szCs w:val="26"/>
        </w:rPr>
        <w:t xml:space="preserve">Linii roșii asumate reciproc</w:t>
      </w:r>
    </w:p>
    <w:p>
      <w:pPr>
        <w:spacing w:after="160" w:before="0" w:line="276"/>
        <w:jc w:val="both"/>
      </w:pPr>
      <w:r>
        <w:rPr>
          <w:rFonts w:ascii="Georgia" w:cs="Georgia" w:eastAsia="Georgia" w:hAnsi="Georgia"/>
          <w:color w:val="222222"/>
          <w:sz w:val="22"/>
          <w:szCs w:val="22"/>
        </w:rPr>
        <w:t xml:space="preserve">Pentru ca alianța să funcționeze, fiecare partid acceptă limitele celuilalt:</w:t>
      </w:r>
    </w:p>
    <w:p>
      <w:pPr>
        <w:pStyle w:val="ListParagraph"/>
        <w:numPr>
          <w:ilvl w:val="0"/>
          <w:numId w:val="3"/>
        </w:numPr>
        <w:spacing w:after="80" w:line="276"/>
      </w:pPr>
      <w:r>
        <w:rPr>
          <w:rFonts w:ascii="Georgia" w:cs="Georgia" w:eastAsia="Georgia" w:hAnsi="Georgia"/>
          <w:color w:val="222222"/>
          <w:sz w:val="21"/>
          <w:szCs w:val="21"/>
        </w:rPr>
        <w:t xml:space="preserve">USR acceptă că reforma administrativ-teritorială se face prin asociere voluntară a comunelor, cu bonusuri de finanțare, nu prin redesenare forțată a județelor sau prin modificarea raporturilor etnice.</w:t>
      </w:r>
    </w:p>
    <w:p>
      <w:pPr>
        <w:pStyle w:val="ListParagraph"/>
        <w:numPr>
          <w:ilvl w:val="0"/>
          <w:numId w:val="3"/>
        </w:numPr>
        <w:spacing w:after="80" w:line="276"/>
      </w:pPr>
      <w:r>
        <w:rPr>
          <w:rFonts w:ascii="Georgia" w:cs="Georgia" w:eastAsia="Georgia" w:hAnsi="Georgia"/>
          <w:color w:val="222222"/>
          <w:sz w:val="21"/>
          <w:szCs w:val="21"/>
        </w:rPr>
        <w:t xml:space="preserve">PNL și USR acceptă că drepturile lingvistice ale minorităților, inclusiv utilizarea limbii materne în administrație acolo unde legea o prevede, nu sunt negociabile și nu pot fi subminate prin praguri conjuncturale.</w:t>
      </w:r>
    </w:p>
    <w:p>
      <w:pPr>
        <w:pStyle w:val="ListParagraph"/>
        <w:numPr>
          <w:ilvl w:val="0"/>
          <w:numId w:val="3"/>
        </w:numPr>
        <w:spacing w:after="80" w:line="276"/>
      </w:pPr>
      <w:r>
        <w:rPr>
          <w:rFonts w:ascii="Georgia" w:cs="Georgia" w:eastAsia="Georgia" w:hAnsi="Georgia"/>
          <w:color w:val="222222"/>
          <w:sz w:val="21"/>
          <w:szCs w:val="21"/>
        </w:rPr>
        <w:t xml:space="preserve">UDMR acceptă o reducere rezonabilă a aparatului parlamentar și a secretarilor de stat, fără a deschide o reformă electorală care să slăbească reprezentarea comunităților mici (alegerea primarilor rămâne, în acest mandat, în sistemul actual, cu excepția unei consultări naționale ulterioare).</w:t>
      </w:r>
    </w:p>
    <w:p>
      <w:pPr>
        <w:pStyle w:val="ListParagraph"/>
        <w:numPr>
          <w:ilvl w:val="0"/>
          <w:numId w:val="3"/>
        </w:numPr>
        <w:spacing w:after="80" w:line="276"/>
      </w:pPr>
      <w:r>
        <w:rPr>
          <w:rFonts w:ascii="Georgia" w:cs="Georgia" w:eastAsia="Georgia" w:hAnsi="Georgia"/>
          <w:color w:val="222222"/>
          <w:sz w:val="21"/>
          <w:szCs w:val="21"/>
        </w:rPr>
        <w:t xml:space="preserve">Toate cele trei partide acceptă că pensiile și alocațiile se indexează în 2027 și că Legea salarizării unitare se adoptă până la sfârșitul anului 2026, fără tăierea veniturilor în plată.</w:t>
      </w:r>
    </w:p>
    <w:p>
      <w:pPr>
        <w:pStyle w:val="Heading1"/>
        <w:pBdr>
          <w:bottom w:val="single" w:color="1B365D" w:sz="12" w:space="8"/>
        </w:pBdr>
        <w:spacing w:after="200" w:before="400"/>
      </w:pPr>
      <w:r>
        <w:rPr>
          <w:rFonts w:ascii="Arial" w:cs="Arial" w:eastAsia="Arial" w:hAnsi="Arial"/>
          <w:b/>
          <w:bCs/>
          <w:color w:val="1B365D"/>
          <w:sz w:val="32"/>
          <w:szCs w:val="32"/>
        </w:rPr>
        <w:t xml:space="preserve">II. Finanțe publice și economie</w:t>
      </w:r>
    </w:p>
    <w:p>
      <w:pPr>
        <w:pStyle w:val="Heading2"/>
        <w:spacing w:after="120" w:before="280"/>
      </w:pPr>
      <w:r>
        <w:rPr>
          <w:rFonts w:ascii="Arial" w:cs="Arial" w:eastAsia="Arial" w:hAnsi="Arial"/>
          <w:b/>
          <w:bCs/>
          <w:color w:val="0E4D5C"/>
          <w:sz w:val="26"/>
          <w:szCs w:val="26"/>
        </w:rPr>
        <w:t xml:space="preserve">1. Ordine în finanțe, fără taxe noi</w:t>
      </w:r>
    </w:p>
    <w:p>
      <w:pPr>
        <w:spacing w:after="160" w:before="0" w:line="276"/>
        <w:jc w:val="both"/>
      </w:pPr>
      <w:r>
        <w:rPr>
          <w:rFonts w:ascii="Georgia" w:cs="Georgia" w:eastAsia="Georgia" w:hAnsi="Georgia"/>
          <w:color w:val="222222"/>
          <w:sz w:val="22"/>
          <w:szCs w:val="22"/>
        </w:rPr>
        <w:t xml:space="preserve">Deficitul se reduce prin tăierea risipei și prin creșterea bazei de impozitare reale (colectare), nu prin creșteri de cote. Obiectivul de mandat: traiectorie credibilă de consolidare, compatibilă cu planul fiscal-structural agreat cu Comisia Europeană, fără recesiune indusă de politică fiscală.</w:t>
      </w:r>
    </w:p>
    <w:p>
      <w:pPr>
        <w:pStyle w:val="ListParagraph"/>
        <w:numPr>
          <w:ilvl w:val="0"/>
          <w:numId w:val="4"/>
        </w:numPr>
        <w:spacing w:after="80" w:line="276"/>
      </w:pPr>
      <w:r>
        <w:rPr>
          <w:rFonts w:ascii="Georgia" w:cs="Georgia" w:eastAsia="Georgia" w:hAnsi="Georgia"/>
          <w:color w:val="222222"/>
          <w:sz w:val="21"/>
          <w:szCs w:val="21"/>
        </w:rPr>
        <w:t xml:space="preserve">Nicio taxă sau impozit nou în 2027. Cota unică de impozitare pe venit se menține.</w:t>
      </w:r>
    </w:p>
    <w:p>
      <w:pPr>
        <w:pStyle w:val="ListParagraph"/>
        <w:numPr>
          <w:ilvl w:val="0"/>
          <w:numId w:val="4"/>
        </w:numPr>
        <w:spacing w:after="80" w:line="276"/>
      </w:pPr>
      <w:r>
        <w:rPr>
          <w:rFonts w:ascii="Georgia" w:cs="Georgia" w:eastAsia="Georgia" w:hAnsi="Georgia"/>
          <w:color w:val="222222"/>
          <w:sz w:val="21"/>
          <w:szCs w:val="21"/>
        </w:rPr>
        <w:t xml:space="preserve">TVA revine la 19% atunci când execuția bugetară și ținta de deficit o permit, nu înainte.</w:t>
      </w:r>
    </w:p>
    <w:p>
      <w:pPr>
        <w:pStyle w:val="ListParagraph"/>
        <w:numPr>
          <w:ilvl w:val="0"/>
          <w:numId w:val="4"/>
        </w:numPr>
        <w:spacing w:after="80" w:line="276"/>
      </w:pPr>
      <w:r>
        <w:rPr>
          <w:rFonts w:ascii="Georgia" w:cs="Georgia" w:eastAsia="Georgia" w:hAnsi="Georgia"/>
          <w:color w:val="222222"/>
          <w:sz w:val="21"/>
          <w:szCs w:val="21"/>
        </w:rPr>
        <w:t xml:space="preserve">Pensiile și alocațiile se indexează în 2027.</w:t>
      </w:r>
    </w:p>
    <w:p>
      <w:pPr>
        <w:pStyle w:val="ListParagraph"/>
        <w:numPr>
          <w:ilvl w:val="0"/>
          <w:numId w:val="4"/>
        </w:numPr>
        <w:spacing w:after="80" w:line="276"/>
      </w:pPr>
      <w:r>
        <w:rPr>
          <w:rFonts w:ascii="Georgia" w:cs="Georgia" w:eastAsia="Georgia" w:hAnsi="Georgia"/>
          <w:color w:val="222222"/>
          <w:sz w:val="21"/>
          <w:szCs w:val="21"/>
        </w:rPr>
        <w:t xml:space="preserve">Statul își plătește la termen datoriile către companii; se introduce compensarea automatizată între creanțele fiscale și sumele de recuperat de la stat.</w:t>
      </w:r>
    </w:p>
    <w:p>
      <w:pPr>
        <w:pStyle w:val="ListParagraph"/>
        <w:numPr>
          <w:ilvl w:val="0"/>
          <w:numId w:val="4"/>
        </w:numPr>
        <w:spacing w:after="80" w:line="276"/>
      </w:pPr>
      <w:r>
        <w:rPr>
          <w:rFonts w:ascii="Georgia" w:cs="Georgia" w:eastAsia="Georgia" w:hAnsi="Georgia"/>
          <w:color w:val="222222"/>
          <w:sz w:val="21"/>
          <w:szCs w:val="21"/>
        </w:rPr>
        <w:t xml:space="preserve">Declarații fiscale precompletate, inclusiv pentru PFA. Plata taxelor devine operațiune de tip factură online.</w:t>
      </w:r>
    </w:p>
    <w:p>
      <w:pPr>
        <w:pStyle w:val="ListParagraph"/>
        <w:numPr>
          <w:ilvl w:val="0"/>
          <w:numId w:val="4"/>
        </w:numPr>
        <w:spacing w:after="80" w:line="276"/>
      </w:pPr>
      <w:r>
        <w:rPr>
          <w:rFonts w:ascii="Georgia" w:cs="Georgia" w:eastAsia="Georgia" w:hAnsi="Georgia"/>
          <w:color w:val="222222"/>
          <w:sz w:val="21"/>
          <w:szCs w:val="21"/>
        </w:rPr>
        <w:t xml:space="preserve">Programele Tezaur și Fidelis devin permanente, ca instrument de economisire internă.</w:t>
      </w:r>
    </w:p>
    <w:p>
      <w:pPr>
        <w:pStyle w:val="ListParagraph"/>
        <w:numPr>
          <w:ilvl w:val="0"/>
          <w:numId w:val="4"/>
        </w:numPr>
        <w:spacing w:after="80" w:line="276"/>
      </w:pPr>
      <w:r>
        <w:rPr>
          <w:rFonts w:ascii="Georgia" w:cs="Georgia" w:eastAsia="Georgia" w:hAnsi="Georgia"/>
          <w:color w:val="222222"/>
          <w:sz w:val="21"/>
          <w:szCs w:val="21"/>
        </w:rPr>
        <w:t xml:space="preserve">ANAF, Antifraudă și Vama sunt scoase din algoritmul politic; conduceri pe mandate cu indicatori de colectare, nu de dosare-spectacol.</w:t>
      </w:r>
    </w:p>
    <w:p>
      <w:pPr>
        <w:pStyle w:val="Heading2"/>
        <w:spacing w:after="120" w:before="280"/>
      </w:pPr>
      <w:r>
        <w:rPr>
          <w:rFonts w:ascii="Arial" w:cs="Arial" w:eastAsia="Arial" w:hAnsi="Arial"/>
          <w:b/>
          <w:bCs/>
          <w:color w:val="0E4D5C"/>
          <w:sz w:val="26"/>
          <w:szCs w:val="26"/>
        </w:rPr>
        <w:t xml:space="preserve">2. Munca merită mai mult decât asistența</w:t>
      </w:r>
    </w:p>
    <w:p>
      <w:pPr>
        <w:spacing w:after="160" w:before="0" w:line="276"/>
        <w:jc w:val="both"/>
      </w:pPr>
      <w:r>
        <w:rPr>
          <w:rFonts w:ascii="Georgia" w:cs="Georgia" w:eastAsia="Georgia" w:hAnsi="Georgia"/>
          <w:color w:val="222222"/>
          <w:sz w:val="22"/>
          <w:szCs w:val="22"/>
        </w:rPr>
        <w:t xml:space="preserve">PNL și USR converg pe o filosofie liberală: statul nu distribuie bunăstare, o face posibilă. UDMR cere ca această logică să nu lase în urmă județele cu venituri sub media regională.</w:t>
      </w:r>
    </w:p>
    <w:p>
      <w:pPr>
        <w:pStyle w:val="ListParagraph"/>
        <w:numPr>
          <w:ilvl w:val="0"/>
          <w:numId w:val="5"/>
        </w:numPr>
        <w:spacing w:after="80" w:line="276"/>
      </w:pPr>
      <w:r>
        <w:rPr>
          <w:rFonts w:ascii="Georgia" w:cs="Georgia" w:eastAsia="Georgia" w:hAnsi="Georgia"/>
          <w:color w:val="222222"/>
          <w:sz w:val="21"/>
          <w:szCs w:val="21"/>
        </w:rPr>
        <w:t xml:space="preserve">Sprijin de chirie pentru studenții care lucrează; extinderea rețelei de creșe pentru revenirea părinților pe piața muncii.</w:t>
      </w:r>
    </w:p>
    <w:p>
      <w:pPr>
        <w:pStyle w:val="ListParagraph"/>
        <w:numPr>
          <w:ilvl w:val="0"/>
          <w:numId w:val="5"/>
        </w:numPr>
        <w:spacing w:after="80" w:line="276"/>
      </w:pPr>
      <w:r>
        <w:rPr>
          <w:rFonts w:ascii="Georgia" w:cs="Georgia" w:eastAsia="Georgia" w:hAnsi="Georgia"/>
          <w:color w:val="222222"/>
          <w:sz w:val="21"/>
          <w:szCs w:val="21"/>
        </w:rPr>
        <w:t xml:space="preserve">Sprijin de transport pentru cei care își găsesc loc de muncă în altă localitate.</w:t>
      </w:r>
    </w:p>
    <w:p>
      <w:pPr>
        <w:pStyle w:val="ListParagraph"/>
        <w:numPr>
          <w:ilvl w:val="0"/>
          <w:numId w:val="5"/>
        </w:numPr>
        <w:spacing w:after="80" w:line="276"/>
      </w:pPr>
      <w:r>
        <w:rPr>
          <w:rFonts w:ascii="Georgia" w:cs="Georgia" w:eastAsia="Georgia" w:hAnsi="Georgia"/>
          <w:color w:val="222222"/>
          <w:sz w:val="21"/>
          <w:szCs w:val="21"/>
        </w:rPr>
        <w:t xml:space="preserve">Ajutoare de stat redesenate: prioritate pentru subvenție de dobândă și credit fiscal, condiționate de menținerea locurilor de muncă cel puțin cinci ani și de valoare adăugată produsă în România.</w:t>
      </w:r>
    </w:p>
    <w:p>
      <w:pPr>
        <w:pStyle w:val="ListParagraph"/>
        <w:numPr>
          <w:ilvl w:val="0"/>
          <w:numId w:val="5"/>
        </w:numPr>
        <w:spacing w:after="80" w:line="276"/>
      </w:pPr>
      <w:r>
        <w:rPr>
          <w:rFonts w:ascii="Georgia" w:cs="Georgia" w:eastAsia="Georgia" w:hAnsi="Georgia"/>
          <w:color w:val="222222"/>
          <w:sz w:val="21"/>
          <w:szCs w:val="21"/>
        </w:rPr>
        <w:t xml:space="preserve">Intensitatea ajutorului de stat este mai mare în județele cu indicatori sub media regională — instrument de coeziune acceptat de toate cele trei partide.</w:t>
      </w:r>
    </w:p>
    <w:p>
      <w:pPr>
        <w:pStyle w:val="ListParagraph"/>
        <w:numPr>
          <w:ilvl w:val="0"/>
          <w:numId w:val="5"/>
        </w:numPr>
        <w:spacing w:after="80" w:line="276"/>
      </w:pPr>
      <w:r>
        <w:rPr>
          <w:rFonts w:ascii="Georgia" w:cs="Georgia" w:eastAsia="Georgia" w:hAnsi="Georgia"/>
          <w:color w:val="222222"/>
          <w:sz w:val="21"/>
          <w:szCs w:val="21"/>
        </w:rPr>
        <w:t xml:space="preserve">Legea salarizării unitare: salariu egal pentru muncă egală, fără diminuarea veniturilor actuale, cu grile care atrag tineri în administrație.</w:t>
      </w:r>
    </w:p>
    <w:p>
      <w:pPr>
        <w:pStyle w:val="Heading2"/>
        <w:spacing w:after="120" w:before="280"/>
      </w:pPr>
      <w:r>
        <w:rPr>
          <w:rFonts w:ascii="Arial" w:cs="Arial" w:eastAsia="Arial" w:hAnsi="Arial"/>
          <w:b/>
          <w:bCs/>
          <w:color w:val="0E4D5C"/>
          <w:sz w:val="26"/>
          <w:szCs w:val="26"/>
        </w:rPr>
        <w:t xml:space="preserve">3. Companiile de stat, scoase din captură</w:t>
      </w:r>
    </w:p>
    <w:p>
      <w:pPr>
        <w:pStyle w:val="ListParagraph"/>
        <w:numPr>
          <w:ilvl w:val="0"/>
          <w:numId w:val="6"/>
        </w:numPr>
        <w:spacing w:after="80" w:line="276"/>
      </w:pPr>
      <w:r>
        <w:rPr>
          <w:rFonts w:ascii="Georgia" w:cs="Georgia" w:eastAsia="Georgia" w:hAnsi="Georgia"/>
          <w:color w:val="222222"/>
          <w:sz w:val="21"/>
          <w:szCs w:val="21"/>
        </w:rPr>
        <w:t xml:space="preserve">Conduceri selectate după standardele OCDE de guvernanță corporativă, cu indicatori care condiționează salariul și mandatul de rezultate, nu de prezența la ședințe.</w:t>
      </w:r>
    </w:p>
    <w:p>
      <w:pPr>
        <w:pStyle w:val="ListParagraph"/>
        <w:numPr>
          <w:ilvl w:val="0"/>
          <w:numId w:val="6"/>
        </w:numPr>
        <w:spacing w:after="80" w:line="276"/>
      </w:pPr>
      <w:r>
        <w:rPr>
          <w:rFonts w:ascii="Georgia" w:cs="Georgia" w:eastAsia="Georgia" w:hAnsi="Georgia"/>
          <w:color w:val="222222"/>
          <w:sz w:val="21"/>
          <w:szCs w:val="21"/>
        </w:rPr>
        <w:t xml:space="preserve">Listarea parțială a unor companii la bursă, cu prioritate pentru investitori rezidenți. Veniturile din listări merg la investiții, nu la cheltuieli curente, și alimentează conturi de economii pentru copii, accesibile după 18 ani.</w:t>
      </w:r>
    </w:p>
    <w:p>
      <w:pPr>
        <w:pStyle w:val="ListParagraph"/>
        <w:numPr>
          <w:ilvl w:val="0"/>
          <w:numId w:val="6"/>
        </w:numPr>
        <w:spacing w:after="80" w:line="276"/>
      </w:pPr>
      <w:r>
        <w:rPr>
          <w:rFonts w:ascii="Georgia" w:cs="Georgia" w:eastAsia="Georgia" w:hAnsi="Georgia"/>
          <w:color w:val="222222"/>
          <w:sz w:val="21"/>
          <w:szCs w:val="21"/>
        </w:rPr>
        <w:t xml:space="preserve">Interzicerea cumulului de indemnizații de consiliu peste un plafon și publicarea lunară a tuturor veniturilor din companii de stat.</w:t>
      </w:r>
    </w:p>
    <w:p>
      <w:pPr>
        <w:pStyle w:val="Heading1"/>
        <w:pBdr>
          <w:bottom w:val="single" w:color="1B365D" w:sz="12" w:space="8"/>
        </w:pBdr>
        <w:spacing w:after="200" w:before="400"/>
      </w:pPr>
      <w:r>
        <w:rPr>
          <w:rFonts w:ascii="Arial" w:cs="Arial" w:eastAsia="Arial" w:hAnsi="Arial"/>
          <w:b/>
          <w:bCs/>
          <w:color w:val="1B365D"/>
          <w:sz w:val="32"/>
          <w:szCs w:val="32"/>
        </w:rPr>
        <w:t xml:space="preserve">III. Energie, infrastructură și agricultură</w:t>
      </w:r>
    </w:p>
    <w:p>
      <w:pPr>
        <w:pStyle w:val="Heading2"/>
        <w:spacing w:after="120" w:before="280"/>
      </w:pPr>
      <w:r>
        <w:rPr>
          <w:rFonts w:ascii="Arial" w:cs="Arial" w:eastAsia="Arial" w:hAnsi="Arial"/>
          <w:b/>
          <w:bCs/>
          <w:color w:val="0E4D5C"/>
          <w:sz w:val="26"/>
          <w:szCs w:val="26"/>
        </w:rPr>
        <w:t xml:space="preserve">4. Energie produsă în România, facturi mai mici</w:t>
      </w:r>
    </w:p>
    <w:p>
      <w:pPr>
        <w:spacing w:after="160" w:before="0" w:line="276"/>
        <w:jc w:val="both"/>
      </w:pPr>
      <w:r>
        <w:rPr>
          <w:rFonts w:ascii="Georgia" w:cs="Georgia" w:eastAsia="Georgia" w:hAnsi="Georgia"/>
          <w:color w:val="222222"/>
          <w:sz w:val="22"/>
          <w:szCs w:val="22"/>
        </w:rPr>
        <w:t xml:space="preserve">Aici se întâlnesc interesul PNL pentru securitate energetică, interesul USR pentru piețe deschise și regenerabile și interesul UDMR pentru termoficare și gospodării vulnerabile din mediul rural și mic-urban.</w:t>
      </w:r>
    </w:p>
    <w:p>
      <w:pPr>
        <w:pStyle w:val="ListParagraph"/>
        <w:numPr>
          <w:ilvl w:val="0"/>
          <w:numId w:val="7"/>
        </w:numPr>
        <w:spacing w:after="80" w:line="276"/>
      </w:pPr>
      <w:r>
        <w:rPr>
          <w:rFonts w:ascii="Georgia" w:cs="Georgia" w:eastAsia="Georgia" w:hAnsi="Georgia"/>
          <w:color w:val="222222"/>
          <w:sz w:val="21"/>
          <w:szCs w:val="21"/>
        </w:rPr>
        <w:t xml:space="preserve">Finalizarea și accelerarea proiectelor de la Cernavodă, hidroenergie, gaze din Marea Neagră, stocare și interconectare.</w:t>
      </w:r>
    </w:p>
    <w:p>
      <w:pPr>
        <w:pStyle w:val="ListParagraph"/>
        <w:numPr>
          <w:ilvl w:val="0"/>
          <w:numId w:val="7"/>
        </w:numPr>
        <w:spacing w:after="80" w:line="276"/>
      </w:pPr>
      <w:r>
        <w:rPr>
          <w:rFonts w:ascii="Georgia" w:cs="Georgia" w:eastAsia="Georgia" w:hAnsi="Georgia"/>
          <w:color w:val="222222"/>
          <w:sz w:val="21"/>
          <w:szCs w:val="21"/>
        </w:rPr>
        <w:t xml:space="preserve">Sprijin direct la factură pentru familiile cu venituri mici, inclusiv la gaze, țintit, nu universal.</w:t>
      </w:r>
    </w:p>
    <w:p>
      <w:pPr>
        <w:pStyle w:val="ListParagraph"/>
        <w:numPr>
          <w:ilvl w:val="0"/>
          <w:numId w:val="7"/>
        </w:numPr>
        <w:spacing w:after="80" w:line="276"/>
      </w:pPr>
      <w:r>
        <w:rPr>
          <w:rFonts w:ascii="Georgia" w:cs="Georgia" w:eastAsia="Georgia" w:hAnsi="Georgia"/>
          <w:color w:val="222222"/>
          <w:sz w:val="21"/>
          <w:szCs w:val="21"/>
        </w:rPr>
        <w:t xml:space="preserve">Modernizarea sistemelor de termoficare din marile orașe.</w:t>
      </w:r>
    </w:p>
    <w:p>
      <w:pPr>
        <w:pStyle w:val="ListParagraph"/>
        <w:numPr>
          <w:ilvl w:val="0"/>
          <w:numId w:val="7"/>
        </w:numPr>
        <w:spacing w:after="80" w:line="276"/>
      </w:pPr>
      <w:r>
        <w:rPr>
          <w:rFonts w:ascii="Georgia" w:cs="Georgia" w:eastAsia="Georgia" w:hAnsi="Georgia"/>
          <w:color w:val="222222"/>
          <w:sz w:val="21"/>
          <w:szCs w:val="21"/>
        </w:rPr>
        <w:t xml:space="preserve">Valorificarea resurselor minerale și a materiilor prime critice cu redevențe corecte și transparență ANRM.</w:t>
      </w:r>
    </w:p>
    <w:p>
      <w:pPr>
        <w:pStyle w:val="ListParagraph"/>
        <w:numPr>
          <w:ilvl w:val="0"/>
          <w:numId w:val="7"/>
        </w:numPr>
        <w:spacing w:after="80" w:line="276"/>
      </w:pPr>
      <w:r>
        <w:rPr>
          <w:rFonts w:ascii="Georgia" w:cs="Georgia" w:eastAsia="Georgia" w:hAnsi="Georgia"/>
          <w:color w:val="222222"/>
          <w:sz w:val="21"/>
          <w:szCs w:val="21"/>
        </w:rPr>
        <w:t xml:space="preserve">Eliminarea barierelor pentru investiții private în regenerabile; listarea progresivă a unor active energetice de stat.</w:t>
      </w:r>
    </w:p>
    <w:p>
      <w:pPr>
        <w:pStyle w:val="Heading2"/>
        <w:spacing w:after="120" w:before="280"/>
      </w:pPr>
      <w:r>
        <w:rPr>
          <w:rFonts w:ascii="Arial" w:cs="Arial" w:eastAsia="Arial" w:hAnsi="Arial"/>
          <w:b/>
          <w:bCs/>
          <w:color w:val="0E4D5C"/>
          <w:sz w:val="26"/>
          <w:szCs w:val="26"/>
        </w:rPr>
        <w:t xml:space="preserve">5. Investiții care se termină, nu șantiere eterne</w:t>
      </w:r>
    </w:p>
    <w:p>
      <w:pPr>
        <w:pStyle w:val="ListParagraph"/>
        <w:numPr>
          <w:ilvl w:val="0"/>
          <w:numId w:val="8"/>
        </w:numPr>
        <w:spacing w:after="80" w:line="276"/>
      </w:pPr>
      <w:r>
        <w:rPr>
          <w:rFonts w:ascii="Georgia" w:cs="Georgia" w:eastAsia="Georgia" w:hAnsi="Georgia"/>
          <w:color w:val="222222"/>
          <w:sz w:val="21"/>
          <w:szCs w:val="21"/>
        </w:rPr>
        <w:t xml:space="preserve">Prioritate absolută: finalizarea proiectelor începute — drumuri, energie, spitale, școli — înainte de deschiderea unora noi.</w:t>
      </w:r>
    </w:p>
    <w:p>
      <w:pPr>
        <w:pStyle w:val="ListParagraph"/>
        <w:numPr>
          <w:ilvl w:val="0"/>
          <w:numId w:val="8"/>
        </w:numPr>
        <w:spacing w:after="80" w:line="276"/>
      </w:pPr>
      <w:r>
        <w:rPr>
          <w:rFonts w:ascii="Georgia" w:cs="Georgia" w:eastAsia="Georgia" w:hAnsi="Georgia"/>
          <w:color w:val="222222"/>
          <w:sz w:val="21"/>
          <w:szCs w:val="21"/>
        </w:rPr>
        <w:t xml:space="preserve">Fiecare proiect public are fișă deschisă: cost, termen, stadiu, responsabil. Actualizare lunară.</w:t>
      </w:r>
    </w:p>
    <w:p>
      <w:pPr>
        <w:pStyle w:val="ListParagraph"/>
        <w:numPr>
          <w:ilvl w:val="0"/>
          <w:numId w:val="8"/>
        </w:numPr>
        <w:spacing w:after="80" w:line="276"/>
      </w:pPr>
      <w:r>
        <w:rPr>
          <w:rFonts w:ascii="Georgia" w:cs="Georgia" w:eastAsia="Georgia" w:hAnsi="Georgia"/>
          <w:color w:val="222222"/>
          <w:sz w:val="21"/>
          <w:szCs w:val="21"/>
        </w:rPr>
        <w:t xml:space="preserve">Continuarea coridoarelor de autostradă și drum expres, cu conectarea reședințelor de județ. Transilvania, Moldova și Oltenia rămân priorități egale de conectivitate.</w:t>
      </w:r>
    </w:p>
    <w:p>
      <w:pPr>
        <w:pStyle w:val="ListParagraph"/>
        <w:numPr>
          <w:ilvl w:val="0"/>
          <w:numId w:val="8"/>
        </w:numPr>
        <w:spacing w:after="80" w:line="276"/>
      </w:pPr>
      <w:r>
        <w:rPr>
          <w:rFonts w:ascii="Georgia" w:cs="Georgia" w:eastAsia="Georgia" w:hAnsi="Georgia"/>
          <w:color w:val="222222"/>
          <w:sz w:val="21"/>
          <w:szCs w:val="21"/>
        </w:rPr>
        <w:t xml:space="preserve">Asocierile voluntare de comune pentru apă, drumuri și școli primesc finanțare preferențială — alternativa agreată la reforma teritorială forțată.</w:t>
      </w:r>
    </w:p>
    <w:p>
      <w:pPr>
        <w:pStyle w:val="Heading2"/>
        <w:spacing w:after="120" w:before="280"/>
      </w:pPr>
      <w:r>
        <w:rPr>
          <w:rFonts w:ascii="Arial" w:cs="Arial" w:eastAsia="Arial" w:hAnsi="Arial"/>
          <w:b/>
          <w:bCs/>
          <w:color w:val="0E4D5C"/>
          <w:sz w:val="26"/>
          <w:szCs w:val="26"/>
        </w:rPr>
        <w:t xml:space="preserve">6. Agricultură și sat</w:t>
      </w:r>
    </w:p>
    <w:p>
      <w:pPr>
        <w:pStyle w:val="ListParagraph"/>
        <w:numPr>
          <w:ilvl w:val="0"/>
          <w:numId w:val="9"/>
        </w:numPr>
        <w:spacing w:after="80" w:line="276"/>
      </w:pPr>
      <w:r>
        <w:rPr>
          <w:rFonts w:ascii="Georgia" w:cs="Georgia" w:eastAsia="Georgia" w:hAnsi="Georgia"/>
          <w:color w:val="222222"/>
          <w:sz w:val="21"/>
          <w:szCs w:val="21"/>
        </w:rPr>
        <w:t xml:space="preserve">Din 2027, mecanism de despăgubire la secetă care acoperă cheltuielile de cultură, nu doar un ajutor simbolic.</w:t>
      </w:r>
    </w:p>
    <w:p>
      <w:pPr>
        <w:pStyle w:val="ListParagraph"/>
        <w:numPr>
          <w:ilvl w:val="0"/>
          <w:numId w:val="9"/>
        </w:numPr>
        <w:spacing w:after="80" w:line="276"/>
      </w:pPr>
      <w:r>
        <w:rPr>
          <w:rFonts w:ascii="Georgia" w:cs="Georgia" w:eastAsia="Georgia" w:hAnsi="Georgia"/>
          <w:color w:val="222222"/>
          <w:sz w:val="21"/>
          <w:szCs w:val="21"/>
        </w:rPr>
        <w:t xml:space="preserve">Irigății, depozitare, procesare: lanț scurt de la fermă la raft, cu prioritate pentru produse românești în achizițiile publice.</w:t>
      </w:r>
    </w:p>
    <w:p>
      <w:pPr>
        <w:pStyle w:val="ListParagraph"/>
        <w:numPr>
          <w:ilvl w:val="0"/>
          <w:numId w:val="9"/>
        </w:numPr>
        <w:spacing w:after="80" w:line="276"/>
      </w:pPr>
      <w:r>
        <w:rPr>
          <w:rFonts w:ascii="Georgia" w:cs="Georgia" w:eastAsia="Georgia" w:hAnsi="Georgia"/>
          <w:color w:val="222222"/>
          <w:sz w:val="21"/>
          <w:szCs w:val="21"/>
        </w:rPr>
        <w:t xml:space="preserve">Sprijin diferențiat pentru fermele de familie din zonele cu agricultură de munte și din Ținutul Secuiesc, fără a crea un regim separat, ci prin criterii obiective de altitudine, parcelare și risc climatic.</w:t>
      </w:r>
    </w:p>
    <w:p>
      <w:pPr>
        <w:pStyle w:val="Heading1"/>
        <w:pBdr>
          <w:bottom w:val="single" w:color="1B365D" w:sz="12" w:space="8"/>
        </w:pBdr>
        <w:spacing w:after="200" w:before="400"/>
      </w:pPr>
      <w:r>
        <w:rPr>
          <w:rFonts w:ascii="Arial" w:cs="Arial" w:eastAsia="Arial" w:hAnsi="Arial"/>
          <w:b/>
          <w:bCs/>
          <w:color w:val="1B365D"/>
          <w:sz w:val="32"/>
          <w:szCs w:val="32"/>
        </w:rPr>
        <w:t xml:space="preserve">IV. Stat de drept, justiție și servicii de informații</w:t>
      </w:r>
    </w:p>
    <w:p>
      <w:pPr>
        <w:spacing w:after="160" w:before="0" w:line="276"/>
        <w:jc w:val="both"/>
      </w:pPr>
      <w:r>
        <w:rPr>
          <w:rFonts w:ascii="Georgia" w:cs="Georgia" w:eastAsia="Georgia" w:hAnsi="Georgia"/>
          <w:color w:val="222222"/>
          <w:sz w:val="22"/>
          <w:szCs w:val="22"/>
        </w:rPr>
        <w:t xml:space="preserve">Acesta este capitolul în care USR își vede cel mai clar amprenta, iar PNL și UDMR îl acceptă ca preț al credibilității europene. Justiția nu este monedă de schimb între partide.</w:t>
      </w:r>
    </w:p>
    <w:p>
      <w:pPr>
        <w:pStyle w:val="Heading2"/>
        <w:spacing w:after="120" w:before="280"/>
      </w:pPr>
      <w:r>
        <w:rPr>
          <w:rFonts w:ascii="Arial" w:cs="Arial" w:eastAsia="Arial" w:hAnsi="Arial"/>
          <w:b/>
          <w:bCs/>
          <w:color w:val="0E4D5C"/>
          <w:sz w:val="26"/>
          <w:szCs w:val="26"/>
        </w:rPr>
        <w:t xml:space="preserve">7. Justiție rapidă și independentă</w:t>
      </w:r>
    </w:p>
    <w:p>
      <w:pPr>
        <w:pStyle w:val="ListParagraph"/>
        <w:numPr>
          <w:ilvl w:val="0"/>
          <w:numId w:val="10"/>
        </w:numPr>
        <w:spacing w:after="80" w:line="276"/>
      </w:pPr>
      <w:r>
        <w:rPr>
          <w:rFonts w:ascii="Georgia" w:cs="Georgia" w:eastAsia="Georgia" w:hAnsi="Georgia"/>
          <w:color w:val="222222"/>
          <w:sz w:val="21"/>
          <w:szCs w:val="21"/>
        </w:rPr>
        <w:t xml:space="preserve">Dosar electronic unic: cereri, taxe și acte dintr-un singur punct online.</w:t>
      </w:r>
    </w:p>
    <w:p>
      <w:pPr>
        <w:pStyle w:val="ListParagraph"/>
        <w:numPr>
          <w:ilvl w:val="0"/>
          <w:numId w:val="10"/>
        </w:numPr>
        <w:spacing w:after="80" w:line="276"/>
      </w:pPr>
      <w:r>
        <w:rPr>
          <w:rFonts w:ascii="Georgia" w:cs="Georgia" w:eastAsia="Georgia" w:hAnsi="Georgia"/>
          <w:color w:val="222222"/>
          <w:sz w:val="21"/>
          <w:szCs w:val="21"/>
        </w:rPr>
        <w:t xml:space="preserve">Accelerarea procedurilor pentru a opri prescrierea dosarelor de corupție prin tergiversare.</w:t>
      </w:r>
    </w:p>
    <w:p>
      <w:pPr>
        <w:pStyle w:val="ListParagraph"/>
        <w:numPr>
          <w:ilvl w:val="0"/>
          <w:numId w:val="10"/>
        </w:numPr>
        <w:spacing w:after="80" w:line="276"/>
      </w:pPr>
      <w:r>
        <w:rPr>
          <w:rFonts w:ascii="Georgia" w:cs="Georgia" w:eastAsia="Georgia" w:hAnsi="Georgia"/>
          <w:color w:val="222222"/>
          <w:sz w:val="21"/>
          <w:szCs w:val="21"/>
        </w:rPr>
        <w:t xml:space="preserve">Reforma alegerii membrilor CSM: vot la nivel național, în cadrul fiecărui corp profesional. Judecătorii aleg judecători, procurorii aleg procurori.</w:t>
      </w:r>
    </w:p>
    <w:p>
      <w:pPr>
        <w:pStyle w:val="ListParagraph"/>
        <w:numPr>
          <w:ilvl w:val="0"/>
          <w:numId w:val="10"/>
        </w:numPr>
        <w:spacing w:after="80" w:line="276"/>
      </w:pPr>
      <w:r>
        <w:rPr>
          <w:rFonts w:ascii="Georgia" w:cs="Georgia" w:eastAsia="Georgia" w:hAnsi="Georgia"/>
          <w:color w:val="222222"/>
          <w:sz w:val="21"/>
          <w:szCs w:val="21"/>
        </w:rPr>
        <w:t xml:space="preserve">Eliminarea dreptului procurorului general și al procurorului-șef DNA de a interveni și de a infirma soluțiile procurorului de caz în orice dosar.</w:t>
      </w:r>
    </w:p>
    <w:p>
      <w:pPr>
        <w:pStyle w:val="ListParagraph"/>
        <w:numPr>
          <w:ilvl w:val="0"/>
          <w:numId w:val="10"/>
        </w:numPr>
        <w:spacing w:after="80" w:line="276"/>
      </w:pPr>
      <w:r>
        <w:rPr>
          <w:rFonts w:ascii="Georgia" w:cs="Georgia" w:eastAsia="Georgia" w:hAnsi="Georgia"/>
          <w:color w:val="222222"/>
          <w:sz w:val="21"/>
          <w:szCs w:val="21"/>
        </w:rPr>
        <w:t xml:space="preserve">Extinderea monitorizării electronice a agresorilor în dosarele de violență domestică.</w:t>
      </w:r>
    </w:p>
    <w:p>
      <w:pPr>
        <w:pStyle w:val="ListParagraph"/>
        <w:numPr>
          <w:ilvl w:val="0"/>
          <w:numId w:val="10"/>
        </w:numPr>
        <w:spacing w:after="80" w:line="276"/>
      </w:pPr>
      <w:r>
        <w:rPr>
          <w:rFonts w:ascii="Georgia" w:cs="Georgia" w:eastAsia="Georgia" w:hAnsi="Georgia"/>
          <w:color w:val="222222"/>
          <w:sz w:val="21"/>
          <w:szCs w:val="21"/>
        </w:rPr>
        <w:t xml:space="preserve">Legea ANI se aliniază standardelor europene: integritate fără sancțiuni retroactive abuzive și fără instrumentare politică.</w:t>
      </w:r>
    </w:p>
    <w:p>
      <w:pPr>
        <w:pStyle w:val="Heading2"/>
        <w:spacing w:after="120" w:before="280"/>
      </w:pPr>
      <w:r>
        <w:rPr>
          <w:rFonts w:ascii="Arial" w:cs="Arial" w:eastAsia="Arial" w:hAnsi="Arial"/>
          <w:b/>
          <w:bCs/>
          <w:color w:val="0E4D5C"/>
          <w:sz w:val="26"/>
          <w:szCs w:val="26"/>
        </w:rPr>
        <w:t xml:space="preserve">8. Control civil asupra serviciilor</w:t>
      </w:r>
    </w:p>
    <w:p>
      <w:pPr>
        <w:pStyle w:val="ListParagraph"/>
        <w:numPr>
          <w:ilvl w:val="0"/>
          <w:numId w:val="11"/>
        </w:numPr>
        <w:spacing w:after="80" w:line="276"/>
      </w:pPr>
      <w:r>
        <w:rPr>
          <w:rFonts w:ascii="Georgia" w:cs="Georgia" w:eastAsia="Georgia" w:hAnsi="Georgia"/>
          <w:color w:val="222222"/>
          <w:sz w:val="21"/>
          <w:szCs w:val="21"/>
        </w:rPr>
        <w:t xml:space="preserve">Rapoartele de activitate ale serviciilor se dezbat efectiv în comisiile parlamentare, nu se iau act.</w:t>
      </w:r>
    </w:p>
    <w:p>
      <w:pPr>
        <w:pStyle w:val="ListParagraph"/>
        <w:numPr>
          <w:ilvl w:val="0"/>
          <w:numId w:val="11"/>
        </w:numPr>
        <w:spacing w:after="80" w:line="276"/>
      </w:pPr>
      <w:r>
        <w:rPr>
          <w:rFonts w:ascii="Georgia" w:cs="Georgia" w:eastAsia="Georgia" w:hAnsi="Georgia"/>
          <w:color w:val="222222"/>
          <w:sz w:val="21"/>
          <w:szCs w:val="21"/>
        </w:rPr>
        <w:t xml:space="preserve">Șefii serviciilor: maximum două mandate, cumulând cel mult opt ani.</w:t>
      </w:r>
    </w:p>
    <w:p>
      <w:pPr>
        <w:pStyle w:val="ListParagraph"/>
        <w:numPr>
          <w:ilvl w:val="0"/>
          <w:numId w:val="11"/>
        </w:numPr>
        <w:spacing w:after="80" w:line="276"/>
      </w:pPr>
      <w:r>
        <w:rPr>
          <w:rFonts w:ascii="Georgia" w:cs="Georgia" w:eastAsia="Georgia" w:hAnsi="Georgia"/>
          <w:color w:val="222222"/>
          <w:sz w:val="21"/>
          <w:szCs w:val="21"/>
        </w:rPr>
        <w:t xml:space="preserve">Interdicție: ofițeri acoperiți în presă, politică și biserică.</w:t>
      </w:r>
    </w:p>
    <w:p>
      <w:pPr>
        <w:pStyle w:val="ListParagraph"/>
        <w:numPr>
          <w:ilvl w:val="0"/>
          <w:numId w:val="11"/>
        </w:numPr>
        <w:spacing w:after="80" w:line="276"/>
      </w:pPr>
      <w:r>
        <w:rPr>
          <w:rFonts w:ascii="Georgia" w:cs="Georgia" w:eastAsia="Georgia" w:hAnsi="Georgia"/>
          <w:color w:val="222222"/>
          <w:sz w:val="21"/>
          <w:szCs w:val="21"/>
        </w:rPr>
        <w:t xml:space="preserve">La ieșirea din sistem: cinci ani pauză înainte de politică, zece ani înainte de funcții publice de conducere; avere declarată public pe toată această perioadă.</w:t>
      </w:r>
    </w:p>
    <w:p>
      <w:pPr>
        <w:pStyle w:val="Heading1"/>
        <w:pBdr>
          <w:bottom w:val="single" w:color="1B365D" w:sz="12" w:space="8"/>
        </w:pBdr>
        <w:spacing w:after="200" w:before="400"/>
      </w:pPr>
      <w:r>
        <w:rPr>
          <w:rFonts w:ascii="Arial" w:cs="Arial" w:eastAsia="Arial" w:hAnsi="Arial"/>
          <w:b/>
          <w:bCs/>
          <w:color w:val="1B365D"/>
          <w:sz w:val="32"/>
          <w:szCs w:val="32"/>
        </w:rPr>
        <w:t xml:space="preserve">V. Administrație, digitalizare și democrație locală</w:t>
      </w:r>
    </w:p>
    <w:p>
      <w:pPr>
        <w:pStyle w:val="Heading2"/>
        <w:spacing w:after="120" w:before="280"/>
      </w:pPr>
      <w:r>
        <w:rPr>
          <w:rFonts w:ascii="Arial" w:cs="Arial" w:eastAsia="Arial" w:hAnsi="Arial"/>
          <w:b/>
          <w:bCs/>
          <w:color w:val="0E4D5C"/>
          <w:sz w:val="26"/>
          <w:szCs w:val="26"/>
        </w:rPr>
        <w:t xml:space="preserve">9. Un stat mai mic, mai aproape de om</w:t>
      </w:r>
    </w:p>
    <w:p>
      <w:pPr>
        <w:pStyle w:val="ListParagraph"/>
        <w:numPr>
          <w:ilvl w:val="0"/>
          <w:numId w:val="12"/>
        </w:numPr>
        <w:spacing w:after="80" w:line="276"/>
      </w:pPr>
      <w:r>
        <w:rPr>
          <w:rFonts w:ascii="Georgia" w:cs="Georgia" w:eastAsia="Georgia" w:hAnsi="Georgia"/>
          <w:color w:val="222222"/>
          <w:sz w:val="21"/>
          <w:szCs w:val="21"/>
        </w:rPr>
        <w:t xml:space="preserve">Reducerea numărului de secretari de stat și comasarea instituțiilor cu atribuții similare, pe baza unui audit funcțional în primele 100 de zile.</w:t>
      </w:r>
    </w:p>
    <w:p>
      <w:pPr>
        <w:pStyle w:val="ListParagraph"/>
        <w:numPr>
          <w:ilvl w:val="0"/>
          <w:numId w:val="12"/>
        </w:numPr>
        <w:spacing w:after="80" w:line="276"/>
      </w:pPr>
      <w:r>
        <w:rPr>
          <w:rFonts w:ascii="Georgia" w:cs="Georgia" w:eastAsia="Georgia" w:hAnsi="Georgia"/>
          <w:color w:val="222222"/>
          <w:sz w:val="21"/>
          <w:szCs w:val="21"/>
        </w:rPr>
        <w:t xml:space="preserve">Reducere rezonabilă a numărului de parlamentari (ordin de mărime 10–15%), fără a coborî sub pragul care afectează reprezentarea comunităților mici. Formula exactă se negociază în coaliție înainte de orice inițiativă legislativă.</w:t>
      </w:r>
    </w:p>
    <w:p>
      <w:pPr>
        <w:pStyle w:val="ListParagraph"/>
        <w:numPr>
          <w:ilvl w:val="0"/>
          <w:numId w:val="12"/>
        </w:numPr>
        <w:spacing w:after="80" w:line="276"/>
      </w:pPr>
      <w:r>
        <w:rPr>
          <w:rFonts w:ascii="Georgia" w:cs="Georgia" w:eastAsia="Georgia" w:hAnsi="Georgia"/>
          <w:color w:val="222222"/>
          <w:sz w:val="21"/>
          <w:szCs w:val="21"/>
        </w:rPr>
        <w:t xml:space="preserve">Asocierea voluntară a comunelor, inspirată de mecanisme deja testate în regiune, cu pachet financiar pentru drumuri, apă și școli comune.</w:t>
      </w:r>
    </w:p>
    <w:p>
      <w:pPr>
        <w:pStyle w:val="ListParagraph"/>
        <w:numPr>
          <w:ilvl w:val="0"/>
          <w:numId w:val="12"/>
        </w:numPr>
        <w:spacing w:after="80" w:line="276"/>
      </w:pPr>
      <w:r>
        <w:rPr>
          <w:rFonts w:ascii="Georgia" w:cs="Georgia" w:eastAsia="Georgia" w:hAnsi="Georgia"/>
          <w:color w:val="222222"/>
          <w:sz w:val="21"/>
          <w:szCs w:val="21"/>
        </w:rPr>
        <w:t xml:space="preserve">Nicio redesenare a granițelor județene în acest mandat. Coeziunea etnică și culturală a comunităților nu se sacrifică pe altarul unei hărți noi.</w:t>
      </w:r>
    </w:p>
    <w:p>
      <w:pPr>
        <w:pStyle w:val="ListParagraph"/>
        <w:numPr>
          <w:ilvl w:val="0"/>
          <w:numId w:val="12"/>
        </w:numPr>
        <w:spacing w:after="80" w:line="276"/>
      </w:pPr>
      <w:r>
        <w:rPr>
          <w:rFonts w:ascii="Georgia" w:cs="Georgia" w:eastAsia="Georgia" w:hAnsi="Georgia"/>
          <w:color w:val="222222"/>
          <w:sz w:val="21"/>
          <w:szCs w:val="21"/>
        </w:rPr>
        <w:t xml:space="preserve">Descentralizare financiară treptată: localitățile care livrează servicii mai bune împreună primesc o cotă mai mare din economiile de reformă.</w:t>
      </w:r>
    </w:p>
    <w:p>
      <w:pPr>
        <w:pStyle w:val="Heading2"/>
        <w:spacing w:after="120" w:before="280"/>
      </w:pPr>
      <w:r>
        <w:rPr>
          <w:rFonts w:ascii="Arial" w:cs="Arial" w:eastAsia="Arial" w:hAnsi="Arial"/>
          <w:b/>
          <w:bCs/>
          <w:color w:val="0E4D5C"/>
          <w:sz w:val="26"/>
          <w:szCs w:val="26"/>
        </w:rPr>
        <w:t xml:space="preserve">10. România digitală</w:t>
      </w:r>
    </w:p>
    <w:p>
      <w:pPr>
        <w:pStyle w:val="ListParagraph"/>
        <w:numPr>
          <w:ilvl w:val="0"/>
          <w:numId w:val="13"/>
        </w:numPr>
        <w:spacing w:after="80" w:line="276"/>
      </w:pPr>
      <w:r>
        <w:rPr>
          <w:rFonts w:ascii="Georgia" w:cs="Georgia" w:eastAsia="Georgia" w:hAnsi="Georgia"/>
          <w:color w:val="222222"/>
          <w:sz w:val="21"/>
          <w:szCs w:val="21"/>
        </w:rPr>
        <w:t xml:space="preserve">Până în 2028, cel puțin jumătate din serviciile publice sunt disponibile integral online. Țintă: cinci milioane de identități digitale.</w:t>
      </w:r>
    </w:p>
    <w:p>
      <w:pPr>
        <w:pStyle w:val="ListParagraph"/>
        <w:numPr>
          <w:ilvl w:val="0"/>
          <w:numId w:val="13"/>
        </w:numPr>
        <w:spacing w:after="80" w:line="276"/>
      </w:pPr>
      <w:r>
        <w:rPr>
          <w:rFonts w:ascii="Georgia" w:cs="Georgia" w:eastAsia="Georgia" w:hAnsi="Georgia"/>
          <w:color w:val="222222"/>
          <w:sz w:val="21"/>
          <w:szCs w:val="21"/>
        </w:rPr>
        <w:t xml:space="preserve">Statul nu mai cere acte pe care deja le deține (once-only).</w:t>
      </w:r>
    </w:p>
    <w:p>
      <w:pPr>
        <w:pStyle w:val="ListParagraph"/>
        <w:numPr>
          <w:ilvl w:val="0"/>
          <w:numId w:val="13"/>
        </w:numPr>
        <w:spacing w:after="80" w:line="276"/>
      </w:pPr>
      <w:r>
        <w:rPr>
          <w:rFonts w:ascii="Georgia" w:cs="Georgia" w:eastAsia="Georgia" w:hAnsi="Georgia"/>
          <w:color w:val="222222"/>
          <w:sz w:val="21"/>
          <w:szCs w:val="21"/>
        </w:rPr>
        <w:t xml:space="preserve">Servicii publice digitale bilingve (română–maghiară) în unitățile administrativ-teritoriale unde limba maternă este folosită legal în administrație; interfață și pentru celelalte limbi minoritare recunoscute, acolo unde pragul legal este atins.</w:t>
      </w:r>
    </w:p>
    <w:p>
      <w:pPr>
        <w:pStyle w:val="ListParagraph"/>
        <w:numPr>
          <w:ilvl w:val="0"/>
          <w:numId w:val="13"/>
        </w:numPr>
        <w:spacing w:after="80" w:line="276"/>
      </w:pPr>
      <w:r>
        <w:rPr>
          <w:rFonts w:ascii="Georgia" w:cs="Georgia" w:eastAsia="Georgia" w:hAnsi="Georgia"/>
          <w:color w:val="222222"/>
          <w:sz w:val="21"/>
          <w:szCs w:val="21"/>
        </w:rPr>
        <w:t xml:space="preserve">Platformă națională de asistență administrativă, cu module în limbile minorităților, pentru formulare, termene și drepturi — modernizare, nu autonomie paralelă.</w:t>
      </w:r>
    </w:p>
    <w:p>
      <w:pPr>
        <w:pStyle w:val="Heading1"/>
        <w:pBdr>
          <w:bottom w:val="single" w:color="1B365D" w:sz="12" w:space="8"/>
        </w:pBdr>
        <w:spacing w:after="200" w:before="400"/>
      </w:pPr>
      <w:r>
        <w:rPr>
          <w:rFonts w:ascii="Arial" w:cs="Arial" w:eastAsia="Arial" w:hAnsi="Arial"/>
          <w:b/>
          <w:bCs/>
          <w:color w:val="1B365D"/>
          <w:sz w:val="32"/>
          <w:szCs w:val="32"/>
        </w:rPr>
        <w:t xml:space="preserve">VI. Educație, sănătate, cultură și comunități</w:t>
      </w:r>
    </w:p>
    <w:p>
      <w:pPr>
        <w:pStyle w:val="Heading2"/>
        <w:spacing w:after="120" w:before="280"/>
      </w:pPr>
      <w:r>
        <w:rPr>
          <w:rFonts w:ascii="Arial" w:cs="Arial" w:eastAsia="Arial" w:hAnsi="Arial"/>
          <w:b/>
          <w:bCs/>
          <w:color w:val="0E4D5C"/>
          <w:sz w:val="26"/>
          <w:szCs w:val="26"/>
        </w:rPr>
        <w:t xml:space="preserve">11. Educație: competențe, nu slogane</w:t>
      </w:r>
    </w:p>
    <w:p>
      <w:pPr>
        <w:spacing w:after="160" w:before="0" w:line="276"/>
        <w:jc w:val="both"/>
      </w:pPr>
      <w:r>
        <w:rPr>
          <w:rFonts w:ascii="Georgia" w:cs="Georgia" w:eastAsia="Georgia" w:hAnsi="Georgia"/>
          <w:color w:val="222222"/>
          <w:sz w:val="22"/>
          <w:szCs w:val="22"/>
        </w:rPr>
        <w:t xml:space="preserve">USR pune accent pe alfabetizare funcțională, dual și evaluare. PNL pune accent pe infrastructură școlară și profesori. UDMR pune accent pe filiera în limba maghiară și pe șanse egale la bacalaureat. Programul le ține pe toate trei.</w:t>
      </w:r>
    </w:p>
    <w:p>
      <w:pPr>
        <w:pStyle w:val="ListParagraph"/>
        <w:numPr>
          <w:ilvl w:val="0"/>
          <w:numId w:val="14"/>
        </w:numPr>
        <w:spacing w:after="80" w:line="276"/>
      </w:pPr>
      <w:r>
        <w:rPr>
          <w:rFonts w:ascii="Georgia" w:cs="Georgia" w:eastAsia="Georgia" w:hAnsi="Georgia"/>
          <w:color w:val="222222"/>
          <w:sz w:val="21"/>
          <w:szCs w:val="21"/>
        </w:rPr>
        <w:t xml:space="preserve">Accent pe citit, scris, matematică; burse și masă caldă pentru copiii din familii vulnerabile, ca instrument împotriva abandonului.</w:t>
      </w:r>
    </w:p>
    <w:p>
      <w:pPr>
        <w:pStyle w:val="ListParagraph"/>
        <w:numPr>
          <w:ilvl w:val="0"/>
          <w:numId w:val="14"/>
        </w:numPr>
        <w:spacing w:after="80" w:line="276"/>
      </w:pPr>
      <w:r>
        <w:rPr>
          <w:rFonts w:ascii="Georgia" w:cs="Georgia" w:eastAsia="Georgia" w:hAnsi="Georgia"/>
          <w:color w:val="222222"/>
          <w:sz w:val="21"/>
          <w:szCs w:val="21"/>
        </w:rPr>
        <w:t xml:space="preserve">Extinderea creșelor și grădinițelor; învățământ dual legat de angajatori reali.</w:t>
      </w:r>
    </w:p>
    <w:p>
      <w:pPr>
        <w:pStyle w:val="ListParagraph"/>
        <w:numPr>
          <w:ilvl w:val="0"/>
          <w:numId w:val="14"/>
        </w:numPr>
        <w:spacing w:after="80" w:line="276"/>
      </w:pPr>
      <w:r>
        <w:rPr>
          <w:rFonts w:ascii="Georgia" w:cs="Georgia" w:eastAsia="Georgia" w:hAnsi="Georgia"/>
          <w:color w:val="222222"/>
          <w:sz w:val="21"/>
          <w:szCs w:val="21"/>
        </w:rPr>
        <w:t xml:space="preserve">Primă de performanță pentru profesori, decisă la nivelul școlii, nu de la centru.</w:t>
      </w:r>
    </w:p>
    <w:p>
      <w:pPr>
        <w:pStyle w:val="ListParagraph"/>
        <w:numPr>
          <w:ilvl w:val="0"/>
          <w:numId w:val="14"/>
        </w:numPr>
        <w:spacing w:after="80" w:line="276"/>
      </w:pPr>
      <w:r>
        <w:rPr>
          <w:rFonts w:ascii="Georgia" w:cs="Georgia" w:eastAsia="Georgia" w:hAnsi="Georgia"/>
          <w:color w:val="222222"/>
          <w:sz w:val="21"/>
          <w:szCs w:val="21"/>
        </w:rPr>
        <w:t xml:space="preserve">Garantarea rețelei de învățământ în limba maghiară — de la creșă la universitate — și a accesului fiecărui elev maghiar la o filieră în limba maternă, indiferent de localitate, prin planuri județene de mobilitate și internate.</w:t>
      </w:r>
    </w:p>
    <w:p>
      <w:pPr>
        <w:pStyle w:val="ListParagraph"/>
        <w:numPr>
          <w:ilvl w:val="0"/>
          <w:numId w:val="14"/>
        </w:numPr>
        <w:spacing w:after="80" w:line="276"/>
      </w:pPr>
      <w:r>
        <w:rPr>
          <w:rFonts w:ascii="Georgia" w:cs="Georgia" w:eastAsia="Georgia" w:hAnsi="Georgia"/>
          <w:color w:val="222222"/>
          <w:sz w:val="21"/>
          <w:szCs w:val="21"/>
        </w:rPr>
        <w:t xml:space="preserve">Cursuri gratuite intensive de limba română pentru elevii din școlile cu predare în limbile minorităților, astfel încât bacalaureatul să nu fie o barieră de limbă, ci o evaluare de competențe.</w:t>
      </w:r>
    </w:p>
    <w:p>
      <w:pPr>
        <w:pStyle w:val="ListParagraph"/>
        <w:numPr>
          <w:ilvl w:val="0"/>
          <w:numId w:val="14"/>
        </w:numPr>
        <w:spacing w:after="80" w:line="276"/>
      </w:pPr>
      <w:r>
        <w:rPr>
          <w:rFonts w:ascii="Georgia" w:cs="Georgia" w:eastAsia="Georgia" w:hAnsi="Georgia"/>
          <w:color w:val="222222"/>
          <w:sz w:val="21"/>
          <w:szCs w:val="21"/>
        </w:rPr>
        <w:t xml:space="preserve">Tabere și programe de limbă maternă pentru copiii din familii mixte; digitalizarea materialelor didactice în limbile minorităților.</w:t>
      </w:r>
    </w:p>
    <w:p>
      <w:pPr>
        <w:pStyle w:val="Heading2"/>
        <w:spacing w:after="120" w:before="280"/>
      </w:pPr>
      <w:r>
        <w:rPr>
          <w:rFonts w:ascii="Arial" w:cs="Arial" w:eastAsia="Arial" w:hAnsi="Arial"/>
          <w:b/>
          <w:bCs/>
          <w:color w:val="0E4D5C"/>
          <w:sz w:val="26"/>
          <w:szCs w:val="26"/>
        </w:rPr>
        <w:t xml:space="preserve">12. Sănătate: pacientul, nu spitalul-instituție</w:t>
      </w:r>
    </w:p>
    <w:p>
      <w:pPr>
        <w:pStyle w:val="ListParagraph"/>
        <w:numPr>
          <w:ilvl w:val="0"/>
          <w:numId w:val="15"/>
        </w:numPr>
        <w:spacing w:after="80" w:line="276"/>
      </w:pPr>
      <w:r>
        <w:rPr>
          <w:rFonts w:ascii="Georgia" w:cs="Georgia" w:eastAsia="Georgia" w:hAnsi="Georgia"/>
          <w:color w:val="222222"/>
          <w:sz w:val="21"/>
          <w:szCs w:val="21"/>
        </w:rPr>
        <w:t xml:space="preserve">Medicul de familie ca prim punct de contact; traseu digital al pacientului.</w:t>
      </w:r>
    </w:p>
    <w:p>
      <w:pPr>
        <w:pStyle w:val="ListParagraph"/>
        <w:numPr>
          <w:ilvl w:val="0"/>
          <w:numId w:val="15"/>
        </w:numPr>
        <w:spacing w:after="80" w:line="276"/>
      </w:pPr>
      <w:r>
        <w:rPr>
          <w:rFonts w:ascii="Georgia" w:cs="Georgia" w:eastAsia="Georgia" w:hAnsi="Georgia"/>
          <w:color w:val="222222"/>
          <w:sz w:val="21"/>
          <w:szCs w:val="21"/>
        </w:rPr>
        <w:t xml:space="preserve">Dublarea finanțării pentru prevenție: cardiovascular, screening neonatal, vaccinare compensată.</w:t>
      </w:r>
    </w:p>
    <w:p>
      <w:pPr>
        <w:pStyle w:val="ListParagraph"/>
        <w:numPr>
          <w:ilvl w:val="0"/>
          <w:numId w:val="15"/>
        </w:numPr>
        <w:spacing w:after="80" w:line="276"/>
      </w:pPr>
      <w:r>
        <w:rPr>
          <w:rFonts w:ascii="Georgia" w:cs="Georgia" w:eastAsia="Georgia" w:hAnsi="Georgia"/>
          <w:color w:val="222222"/>
          <w:sz w:val="21"/>
          <w:szCs w:val="21"/>
        </w:rPr>
        <w:t xml:space="preserve">Trasee clare pentru cancer și boli rare; acces accelerat la terapii inovatoare.</w:t>
      </w:r>
    </w:p>
    <w:p>
      <w:pPr>
        <w:pStyle w:val="ListParagraph"/>
        <w:numPr>
          <w:ilvl w:val="0"/>
          <w:numId w:val="15"/>
        </w:numPr>
        <w:spacing w:after="80" w:line="276"/>
      </w:pPr>
      <w:r>
        <w:rPr>
          <w:rFonts w:ascii="Georgia" w:cs="Georgia" w:eastAsia="Georgia" w:hAnsi="Georgia"/>
          <w:color w:val="222222"/>
          <w:sz w:val="21"/>
          <w:szCs w:val="21"/>
        </w:rPr>
        <w:t xml:space="preserve">Finanțarea spitalelor pe servicii prestate, ca să dispară refuzul analizelor „la mijlocul lunii”.</w:t>
      </w:r>
    </w:p>
    <w:p>
      <w:pPr>
        <w:pStyle w:val="ListParagraph"/>
        <w:numPr>
          <w:ilvl w:val="0"/>
          <w:numId w:val="15"/>
        </w:numPr>
        <w:spacing w:after="80" w:line="276"/>
      </w:pPr>
      <w:r>
        <w:rPr>
          <w:rFonts w:ascii="Georgia" w:cs="Georgia" w:eastAsia="Georgia" w:hAnsi="Georgia"/>
          <w:color w:val="222222"/>
          <w:sz w:val="21"/>
          <w:szCs w:val="21"/>
        </w:rPr>
        <w:t xml:space="preserve">Management profesionist, achiziții prin consorții spitalicești. Spitalele din județele cu deficit de medici primesc pachet de atragere (locuință de serviciu, spor de izolare, telemedicină).</w:t>
      </w:r>
    </w:p>
    <w:p>
      <w:pPr>
        <w:pStyle w:val="Heading2"/>
        <w:spacing w:after="120" w:before="280"/>
      </w:pPr>
      <w:r>
        <w:rPr>
          <w:rFonts w:ascii="Arial" w:cs="Arial" w:eastAsia="Arial" w:hAnsi="Arial"/>
          <w:b/>
          <w:bCs/>
          <w:color w:val="0E4D5C"/>
          <w:sz w:val="26"/>
          <w:szCs w:val="26"/>
        </w:rPr>
        <w:t xml:space="preserve">13. Cultură, identitate și drepturi ale minorităților naționale</w:t>
      </w:r>
    </w:p>
    <w:p>
      <w:pPr>
        <w:spacing w:after="160" w:before="0" w:line="276"/>
        <w:jc w:val="both"/>
      </w:pPr>
      <w:r>
        <w:rPr>
          <w:rFonts w:ascii="Georgia" w:cs="Georgia" w:eastAsia="Georgia" w:hAnsi="Georgia"/>
          <w:color w:val="222222"/>
          <w:sz w:val="22"/>
          <w:szCs w:val="22"/>
        </w:rPr>
        <w:t xml:space="preserve">UDMR nu cere un stat în stat. Cere ca România să își respecte propria Constituție și angajamentele europene privind minoritățile. PNL și USR acceptă acest cadru ca pe o condiție de civilizație, nu ca pe o concesie.</w:t>
      </w:r>
    </w:p>
    <w:p>
      <w:pPr>
        <w:spacing w:after="100" w:line="276"/>
      </w:pPr>
      <w:r>
        <w:rPr>
          <w:rFonts w:ascii="Georgia" w:cs="Georgia" w:eastAsia="Georgia" w:hAnsi="Georgia"/>
          <w:b/>
          <w:bCs/>
          <w:color w:val="1B365D"/>
          <w:sz w:val="21"/>
          <w:szCs w:val="21"/>
        </w:rPr>
        <w:t xml:space="preserve">Drepturi câștigate. </w:t>
      </w:r>
      <w:r>
        <w:rPr>
          <w:rFonts w:ascii="Georgia" w:cs="Georgia" w:eastAsia="Georgia" w:hAnsi="Georgia"/>
          <w:color w:val="222222"/>
          <w:sz w:val="21"/>
          <w:szCs w:val="21"/>
        </w:rPr>
        <w:t xml:space="preserve">Utilizarea limbii materne în administrația locală, învățământ, justiție și cultură, acolo unde legea o prevede, este garantată. Dreptul deja dobândit nu se pierde automat la o fluctuație demografică de recensământ fără o evaluare de impact și fără consultarea comunității vizate.</w:t>
      </w:r>
    </w:p>
    <w:p>
      <w:pPr>
        <w:spacing w:after="100" w:line="276"/>
      </w:pPr>
      <w:r>
        <w:rPr>
          <w:rFonts w:ascii="Georgia" w:cs="Georgia" w:eastAsia="Georgia" w:hAnsi="Georgia"/>
          <w:b/>
          <w:bCs/>
          <w:color w:val="1B365D"/>
          <w:sz w:val="21"/>
          <w:szCs w:val="21"/>
        </w:rPr>
        <w:t xml:space="preserve">Simboluri și toponimie. </w:t>
      </w:r>
      <w:r>
        <w:rPr>
          <w:rFonts w:ascii="Georgia" w:cs="Georgia" w:eastAsia="Georgia" w:hAnsi="Georgia"/>
          <w:color w:val="222222"/>
          <w:sz w:val="21"/>
          <w:szCs w:val="21"/>
        </w:rPr>
        <w:t xml:space="preserve">Aplicarea consecventă a legislației privind inscripțiile bilingve și utilizarea denumirilor tradiționale, fără războaie de steaguri și fără sfidarea simbolurilor naționale.</w:t>
      </w:r>
    </w:p>
    <w:p>
      <w:pPr>
        <w:spacing w:after="100" w:line="276"/>
      </w:pPr>
      <w:r>
        <w:rPr>
          <w:rFonts w:ascii="Georgia" w:cs="Georgia" w:eastAsia="Georgia" w:hAnsi="Georgia"/>
          <w:b/>
          <w:bCs/>
          <w:color w:val="1B365D"/>
          <w:sz w:val="21"/>
          <w:szCs w:val="21"/>
        </w:rPr>
        <w:t xml:space="preserve">Cultură. </w:t>
      </w:r>
      <w:r>
        <w:rPr>
          <w:rFonts w:ascii="Georgia" w:cs="Georgia" w:eastAsia="Georgia" w:hAnsi="Georgia"/>
          <w:color w:val="222222"/>
          <w:sz w:val="21"/>
          <w:szCs w:val="21"/>
        </w:rPr>
        <w:t xml:space="preserve">Finanțare predictibilă pentru instituțiile de cultură în limbile minorităților și pentru patrimoniul comun transilvan. Ministerul Culturii rămâne un partener, nu un cenzor.</w:t>
      </w:r>
    </w:p>
    <w:p>
      <w:pPr>
        <w:spacing w:after="100" w:line="276"/>
      </w:pPr>
      <w:r>
        <w:rPr>
          <w:rFonts w:ascii="Georgia" w:cs="Georgia" w:eastAsia="Georgia" w:hAnsi="Georgia"/>
          <w:b/>
          <w:bCs/>
          <w:color w:val="1B365D"/>
          <w:sz w:val="21"/>
          <w:szCs w:val="21"/>
        </w:rPr>
        <w:t xml:space="preserve">Romii și celelalte minorități. </w:t>
      </w:r>
      <w:r>
        <w:rPr>
          <w:rFonts w:ascii="Georgia" w:cs="Georgia" w:eastAsia="Georgia" w:hAnsi="Georgia"/>
          <w:color w:val="222222"/>
          <w:sz w:val="21"/>
          <w:szCs w:val="21"/>
        </w:rPr>
        <w:t xml:space="preserve">Aceleași principii de nediscriminare, educație și acces la servicii se aplică tuturor comunităților naționale reprezentate în Parlament.</w:t>
      </w:r>
    </w:p>
    <w:p>
      <w:pPr>
        <w:spacing w:after="100" w:line="276"/>
      </w:pPr>
      <w:r>
        <w:rPr>
          <w:rFonts w:ascii="Georgia" w:cs="Georgia" w:eastAsia="Georgia" w:hAnsi="Georgia"/>
          <w:b/>
          <w:bCs/>
          <w:color w:val="1B365D"/>
          <w:sz w:val="21"/>
          <w:szCs w:val="21"/>
        </w:rPr>
        <w:t xml:space="preserve">Toleranță zero. </w:t>
      </w:r>
      <w:r>
        <w:rPr>
          <w:rFonts w:ascii="Georgia" w:cs="Georgia" w:eastAsia="Georgia" w:hAnsi="Georgia"/>
          <w:color w:val="222222"/>
          <w:sz w:val="21"/>
          <w:szCs w:val="21"/>
        </w:rPr>
        <w:t xml:space="preserve">Xenofobie, rasism, antisemitism și instigare la ură — inclusiv în campaniile din 2028 — sunt urmărite penal, nu tratate ca „discurs politic”.</w:t>
      </w:r>
    </w:p>
    <w:p>
      <w:pPr>
        <w:pStyle w:val="Heading1"/>
        <w:pBdr>
          <w:bottom w:val="single" w:color="1B365D" w:sz="12" w:space="8"/>
        </w:pBdr>
        <w:spacing w:after="200" w:before="400"/>
      </w:pPr>
      <w:r>
        <w:rPr>
          <w:rFonts w:ascii="Arial" w:cs="Arial" w:eastAsia="Arial" w:hAnsi="Arial"/>
          <w:b/>
          <w:bCs/>
          <w:color w:val="1B365D"/>
          <w:sz w:val="32"/>
          <w:szCs w:val="32"/>
        </w:rPr>
        <w:t xml:space="preserve">VII. Politică externă, apărare și fonduri europene</w:t>
      </w:r>
    </w:p>
    <w:p>
      <w:pPr>
        <w:spacing w:after="160" w:before="0" w:line="276"/>
        <w:jc w:val="both"/>
      </w:pPr>
      <w:r>
        <w:rPr>
          <w:rFonts w:ascii="Georgia" w:cs="Georgia" w:eastAsia="Georgia" w:hAnsi="Georgia"/>
          <w:color w:val="222222"/>
          <w:sz w:val="22"/>
          <w:szCs w:val="22"/>
        </w:rPr>
        <w:t xml:space="preserve">Pe acest capitol cele trei partide sunt, de fapt, o singură familie: PPE și Renew, pro-NATO, anti-izolaționism.</w:t>
      </w:r>
    </w:p>
    <w:p>
      <w:pPr>
        <w:pStyle w:val="ListParagraph"/>
        <w:numPr>
          <w:ilvl w:val="0"/>
          <w:numId w:val="16"/>
        </w:numPr>
        <w:spacing w:after="80" w:line="276"/>
      </w:pPr>
      <w:r>
        <w:rPr>
          <w:rFonts w:ascii="Georgia" w:cs="Georgia" w:eastAsia="Georgia" w:hAnsi="Georgia"/>
          <w:color w:val="222222"/>
          <w:sz w:val="21"/>
          <w:szCs w:val="21"/>
        </w:rPr>
        <w:t xml:space="preserve">România rămâne un aliat predictibil în NATO. Cheltuielile de apărare se mențin cel puțin la angajamentul asumat, cu accent pe achiziții care produc și în țară.</w:t>
      </w:r>
    </w:p>
    <w:p>
      <w:pPr>
        <w:pStyle w:val="ListParagraph"/>
        <w:numPr>
          <w:ilvl w:val="0"/>
          <w:numId w:val="16"/>
        </w:numPr>
        <w:spacing w:after="80" w:line="276"/>
      </w:pPr>
      <w:r>
        <w:rPr>
          <w:rFonts w:ascii="Georgia" w:cs="Georgia" w:eastAsia="Georgia" w:hAnsi="Georgia"/>
          <w:color w:val="222222"/>
          <w:sz w:val="21"/>
          <w:szCs w:val="21"/>
        </w:rPr>
        <w:t xml:space="preserve">Susținerea Republicii Moldova și a Ucrainei rămâne politică de stat, nu de partid.</w:t>
      </w:r>
    </w:p>
    <w:p>
      <w:pPr>
        <w:pStyle w:val="ListParagraph"/>
        <w:numPr>
          <w:ilvl w:val="0"/>
          <w:numId w:val="16"/>
        </w:numPr>
        <w:spacing w:after="80" w:line="276"/>
      </w:pPr>
      <w:r>
        <w:rPr>
          <w:rFonts w:ascii="Georgia" w:cs="Georgia" w:eastAsia="Georgia" w:hAnsi="Georgia"/>
          <w:color w:val="222222"/>
          <w:sz w:val="21"/>
          <w:szCs w:val="21"/>
        </w:rPr>
        <w:t xml:space="preserve">Absorbția fondurilor europene și deblocarea jalonelor PNRR sunt prioritate de Cabinet, cu un responsabil unic la nivel de vicepremier.</w:t>
      </w:r>
    </w:p>
    <w:p>
      <w:pPr>
        <w:pStyle w:val="ListParagraph"/>
        <w:numPr>
          <w:ilvl w:val="0"/>
          <w:numId w:val="16"/>
        </w:numPr>
        <w:spacing w:after="80" w:line="276"/>
      </w:pPr>
      <w:r>
        <w:rPr>
          <w:rFonts w:ascii="Georgia" w:cs="Georgia" w:eastAsia="Georgia" w:hAnsi="Georgia"/>
          <w:color w:val="222222"/>
          <w:sz w:val="21"/>
          <w:szCs w:val="21"/>
        </w:rPr>
        <w:t xml:space="preserve">România promovează în Consiliu o agendă de competitivitate: piață unică, energie, apărare comună, fără a accepta mutarea unor competențe care ating identitatea națională sau drepturile minorităților fără vot în Parlament.</w:t>
      </w:r>
    </w:p>
    <w:p>
      <w:pPr>
        <w:pStyle w:val="ListParagraph"/>
        <w:numPr>
          <w:ilvl w:val="0"/>
          <w:numId w:val="16"/>
        </w:numPr>
        <w:spacing w:after="80" w:line="276"/>
      </w:pPr>
      <w:r>
        <w:rPr>
          <w:rFonts w:ascii="Georgia" w:cs="Georgia" w:eastAsia="Georgia" w:hAnsi="Georgia"/>
          <w:color w:val="222222"/>
          <w:sz w:val="21"/>
          <w:szCs w:val="21"/>
        </w:rPr>
        <w:t xml:space="preserve">Alegerile din 2028: pachet anti-deepfake și anti-dezinformare, fără cenzură politică.</w:t>
      </w:r>
    </w:p>
    <w:p>
      <w:pPr>
        <w:pStyle w:val="Heading1"/>
        <w:pBdr>
          <w:bottom w:val="single" w:color="1B365D" w:sz="12" w:space="8"/>
        </w:pBdr>
        <w:spacing w:after="200" w:before="400"/>
      </w:pPr>
      <w:r>
        <w:rPr>
          <w:rFonts w:ascii="Arial" w:cs="Arial" w:eastAsia="Arial" w:hAnsi="Arial"/>
          <w:b/>
          <w:bCs/>
          <w:color w:val="1B365D"/>
          <w:sz w:val="32"/>
          <w:szCs w:val="32"/>
        </w:rPr>
        <w:t xml:space="preserve">VIII. Calendar de mandat și guvernanța coaliției</w:t>
      </w:r>
    </w:p>
    <w:p>
      <w:pPr>
        <w:pStyle w:val="Heading2"/>
        <w:spacing w:after="120" w:before="280"/>
      </w:pPr>
      <w:r>
        <w:rPr>
          <w:rFonts w:ascii="Arial" w:cs="Arial" w:eastAsia="Arial" w:hAnsi="Arial"/>
          <w:b/>
          <w:bCs/>
          <w:color w:val="0E4D5C"/>
          <w:sz w:val="26"/>
          <w:szCs w:val="26"/>
        </w:rPr>
        <w:t xml:space="preserve">Primele 100 de zile</w:t>
      </w:r>
    </w:p>
    <w:p>
      <w:pPr>
        <w:pStyle w:val="ListParagraph"/>
        <w:numPr>
          <w:ilvl w:val="0"/>
          <w:numId w:val="16"/>
        </w:numPr>
        <w:spacing w:after="80" w:line="276"/>
      </w:pPr>
      <w:r>
        <w:rPr>
          <w:rFonts w:ascii="Georgia" w:cs="Georgia" w:eastAsia="Georgia" w:hAnsi="Georgia"/>
          <w:color w:val="222222"/>
          <w:sz w:val="21"/>
          <w:szCs w:val="21"/>
        </w:rPr>
        <w:t xml:space="preserve">Audit funcțional al instituțiilor centrale și listă de comasări.</w:t>
      </w:r>
    </w:p>
    <w:p>
      <w:pPr>
        <w:pStyle w:val="ListParagraph"/>
        <w:numPr>
          <w:ilvl w:val="0"/>
          <w:numId w:val="16"/>
        </w:numPr>
        <w:spacing w:after="80" w:line="276"/>
      </w:pPr>
      <w:r>
        <w:rPr>
          <w:rFonts w:ascii="Georgia" w:cs="Georgia" w:eastAsia="Georgia" w:hAnsi="Georgia"/>
          <w:color w:val="222222"/>
          <w:sz w:val="21"/>
          <w:szCs w:val="21"/>
        </w:rPr>
        <w:t xml:space="preserve">Calendarul Legii salarizării unitare și al bugetului pe 2027.</w:t>
      </w:r>
    </w:p>
    <w:p>
      <w:pPr>
        <w:pStyle w:val="ListParagraph"/>
        <w:numPr>
          <w:ilvl w:val="0"/>
          <w:numId w:val="16"/>
        </w:numPr>
        <w:spacing w:after="80" w:line="276"/>
      </w:pPr>
      <w:r>
        <w:rPr>
          <w:rFonts w:ascii="Georgia" w:cs="Georgia" w:eastAsia="Georgia" w:hAnsi="Georgia"/>
          <w:color w:val="222222"/>
          <w:sz w:val="21"/>
          <w:szCs w:val="21"/>
        </w:rPr>
        <w:t xml:space="preserve">Pachetul de guvernanță a companiilor de stat (OCDE).</w:t>
      </w:r>
    </w:p>
    <w:p>
      <w:pPr>
        <w:pStyle w:val="ListParagraph"/>
        <w:numPr>
          <w:ilvl w:val="0"/>
          <w:numId w:val="16"/>
        </w:numPr>
        <w:spacing w:after="80" w:line="276"/>
      </w:pPr>
      <w:r>
        <w:rPr>
          <w:rFonts w:ascii="Georgia" w:cs="Georgia" w:eastAsia="Georgia" w:hAnsi="Georgia"/>
          <w:color w:val="222222"/>
          <w:sz w:val="21"/>
          <w:szCs w:val="21"/>
        </w:rPr>
        <w:t xml:space="preserve">Decizii de deblocare PNRR pe jaloanele restante.</w:t>
      </w:r>
    </w:p>
    <w:p>
      <w:pPr>
        <w:pStyle w:val="ListParagraph"/>
        <w:numPr>
          <w:ilvl w:val="0"/>
          <w:numId w:val="16"/>
        </w:numPr>
        <w:spacing w:after="80" w:line="276"/>
      </w:pPr>
      <w:r>
        <w:rPr>
          <w:rFonts w:ascii="Georgia" w:cs="Georgia" w:eastAsia="Georgia" w:hAnsi="Georgia"/>
          <w:color w:val="222222"/>
          <w:sz w:val="21"/>
          <w:szCs w:val="21"/>
        </w:rPr>
        <w:t xml:space="preserve">Protocol de funcționare a coaliției: veto motivat, nu veto de rutină; întâlnire săptămânală a liderilor; transparența actelor de guvernare.</w:t>
      </w:r>
    </w:p>
    <w:p>
      <w:pPr>
        <w:pStyle w:val="Heading2"/>
        <w:spacing w:after="120" w:before="280"/>
      </w:pPr>
      <w:r>
        <w:rPr>
          <w:rFonts w:ascii="Arial" w:cs="Arial" w:eastAsia="Arial" w:hAnsi="Arial"/>
          <w:b/>
          <w:bCs/>
          <w:color w:val="0E4D5C"/>
          <w:sz w:val="26"/>
          <w:szCs w:val="26"/>
        </w:rPr>
        <w:t xml:space="preserve">Anul 2027</w:t>
      </w:r>
    </w:p>
    <w:p>
      <w:pPr>
        <w:pStyle w:val="ListParagraph"/>
        <w:numPr>
          <w:ilvl w:val="0"/>
          <w:numId w:val="16"/>
        </w:numPr>
        <w:spacing w:after="80" w:line="276"/>
      </w:pPr>
      <w:r>
        <w:rPr>
          <w:rFonts w:ascii="Georgia" w:cs="Georgia" w:eastAsia="Georgia" w:hAnsi="Georgia"/>
          <w:color w:val="222222"/>
          <w:sz w:val="21"/>
          <w:szCs w:val="21"/>
        </w:rPr>
        <w:t xml:space="preserve">Indexarea pensiilor și alocațiilor. Prima tranșă din „dividendul reformei” către taxe pe muncă, dacă economiile sunt reale.</w:t>
      </w:r>
    </w:p>
    <w:p>
      <w:pPr>
        <w:pStyle w:val="ListParagraph"/>
        <w:numPr>
          <w:ilvl w:val="0"/>
          <w:numId w:val="16"/>
        </w:numPr>
        <w:spacing w:after="80" w:line="276"/>
      </w:pPr>
      <w:r>
        <w:rPr>
          <w:rFonts w:ascii="Georgia" w:cs="Georgia" w:eastAsia="Georgia" w:hAnsi="Georgia"/>
          <w:color w:val="222222"/>
          <w:sz w:val="21"/>
          <w:szCs w:val="21"/>
        </w:rPr>
        <w:t xml:space="preserve">Operaționalizarea asocierilor de comune. Primul val de listări.</w:t>
      </w:r>
    </w:p>
    <w:p>
      <w:pPr>
        <w:pStyle w:val="ListParagraph"/>
        <w:numPr>
          <w:ilvl w:val="0"/>
          <w:numId w:val="16"/>
        </w:numPr>
        <w:spacing w:after="80" w:line="276"/>
      </w:pPr>
      <w:r>
        <w:rPr>
          <w:rFonts w:ascii="Georgia" w:cs="Georgia" w:eastAsia="Georgia" w:hAnsi="Georgia"/>
          <w:color w:val="222222"/>
          <w:sz w:val="21"/>
          <w:szCs w:val="21"/>
        </w:rPr>
        <w:t xml:space="preserve">Pachetul legislativ privind CSM, controlul serviciilor și ANI.</w:t>
      </w:r>
    </w:p>
    <w:p>
      <w:pPr>
        <w:pStyle w:val="Heading2"/>
        <w:spacing w:after="120" w:before="280"/>
      </w:pPr>
      <w:r>
        <w:rPr>
          <w:rFonts w:ascii="Arial" w:cs="Arial" w:eastAsia="Arial" w:hAnsi="Arial"/>
          <w:b/>
          <w:bCs/>
          <w:color w:val="0E4D5C"/>
          <w:sz w:val="26"/>
          <w:szCs w:val="26"/>
        </w:rPr>
        <w:t xml:space="preserve">Anul 2028</w:t>
      </w:r>
    </w:p>
    <w:p>
      <w:pPr>
        <w:pStyle w:val="ListParagraph"/>
        <w:numPr>
          <w:ilvl w:val="0"/>
          <w:numId w:val="16"/>
        </w:numPr>
        <w:spacing w:after="80" w:line="276"/>
      </w:pPr>
      <w:r>
        <w:rPr>
          <w:rFonts w:ascii="Georgia" w:cs="Georgia" w:eastAsia="Georgia" w:hAnsi="Georgia"/>
          <w:color w:val="222222"/>
          <w:sz w:val="21"/>
          <w:szCs w:val="21"/>
        </w:rPr>
        <w:t xml:space="preserve">TVA 19% — numai dacă țintele de deficit sunt ținute.</w:t>
      </w:r>
    </w:p>
    <w:p>
      <w:pPr>
        <w:pStyle w:val="ListParagraph"/>
        <w:numPr>
          <w:ilvl w:val="0"/>
          <w:numId w:val="16"/>
        </w:numPr>
        <w:spacing w:after="80" w:line="276"/>
      </w:pPr>
      <w:r>
        <w:rPr>
          <w:rFonts w:ascii="Georgia" w:cs="Georgia" w:eastAsia="Georgia" w:hAnsi="Georgia"/>
          <w:color w:val="222222"/>
          <w:sz w:val="21"/>
          <w:szCs w:val="21"/>
        </w:rPr>
        <w:t xml:space="preserve">Cinci milioane de identități digitale. Jumătate din servicii online.</w:t>
      </w:r>
    </w:p>
    <w:p>
      <w:pPr>
        <w:pStyle w:val="ListParagraph"/>
        <w:numPr>
          <w:ilvl w:val="0"/>
          <w:numId w:val="16"/>
        </w:numPr>
        <w:spacing w:after="80" w:line="276"/>
      </w:pPr>
      <w:r>
        <w:rPr>
          <w:rFonts w:ascii="Georgia" w:cs="Georgia" w:eastAsia="Georgia" w:hAnsi="Georgia"/>
          <w:color w:val="222222"/>
          <w:sz w:val="21"/>
          <w:szCs w:val="21"/>
        </w:rPr>
        <w:t xml:space="preserve">Raport public de mandat, pe indicatori, nu pe comunicate.</w:t>
      </w:r>
    </w:p>
    <w:p>
      <w:pPr>
        <w:pStyle w:val="Heading2"/>
        <w:spacing w:after="120" w:before="280"/>
      </w:pPr>
      <w:r>
        <w:rPr>
          <w:rFonts w:ascii="Arial" w:cs="Arial" w:eastAsia="Arial" w:hAnsi="Arial"/>
          <w:b/>
          <w:bCs/>
          <w:color w:val="0E4D5C"/>
          <w:sz w:val="26"/>
          <w:szCs w:val="26"/>
        </w:rPr>
        <w:t xml:space="preserve">Cum se evită blocajul</w:t>
      </w:r>
    </w:p>
    <w:p>
      <w:pPr>
        <w:spacing w:after="160" w:before="0" w:line="276"/>
        <w:jc w:val="both"/>
      </w:pPr>
      <w:r>
        <w:rPr>
          <w:rFonts w:ascii="Georgia" w:cs="Georgia" w:eastAsia="Georgia" w:hAnsi="Georgia"/>
          <w:color w:val="222222"/>
          <w:sz w:val="22"/>
          <w:szCs w:val="22"/>
        </w:rPr>
        <w:t xml:space="preserve">Coaliția funcționează cu o regulă simplă: pe justiție, fiscalitate și politică externă, decizia este comună. Pe educație în limba maternă, cultură minoritară și administrație locală din județele cu comunități maghiare semnificative, UDMR are drept de inițiativă și de avertisment formal. Pe digitalizare, integritate și reformă a serviciilor, USR are același drept. Pe energie, infrastructură mare și mediu de afaceri, PNL are același drept. Avertismentul formal obligă la o nouă negociere de 14 zile, nu la veto tacit infinit.</w:t>
      </w:r>
    </w:p>
    <w:p>
      <w:pPr>
        <w:pStyle w:val="Heading1"/>
        <w:pBdr>
          <w:bottom w:val="single" w:color="1B365D" w:sz="12" w:space="8"/>
        </w:pBdr>
        <w:spacing w:after="200" w:before="400"/>
      </w:pPr>
      <w:r>
        <w:rPr>
          <w:rFonts w:ascii="Arial" w:cs="Arial" w:eastAsia="Arial" w:hAnsi="Arial"/>
          <w:b/>
          <w:bCs/>
          <w:color w:val="1B365D"/>
          <w:sz w:val="32"/>
          <w:szCs w:val="32"/>
        </w:rPr>
        <w:t xml:space="preserve">IX. Ce nu face acest guvern</w:t>
      </w:r>
    </w:p>
    <w:p>
      <w:pPr>
        <w:spacing w:after="160" w:before="0" w:line="276"/>
        <w:jc w:val="both"/>
      </w:pPr>
      <w:r>
        <w:rPr>
          <w:rFonts w:ascii="Georgia" w:cs="Georgia" w:eastAsia="Georgia" w:hAnsi="Georgia"/>
          <w:color w:val="222222"/>
          <w:sz w:val="22"/>
          <w:szCs w:val="22"/>
        </w:rPr>
        <w:t xml:space="preserve">Pentru a nu vinde iluzii: acest guvern nu promite salarii dublate din pix, nu redesenează harta județelor, nu introduce autonomie teritorială, nu crește taxele în 2027, nu reface pensiile speciale în forma veche, nu pune ofițeri acoperiți în redacții și nu tratează limba maternă a unei comunități ca pe o amenințare. Face mai puțin zgomot și mai multă administrație.</w:t>
      </w:r>
    </w:p>
    <w:p>
      <w:pPr>
        <w:pStyle w:val="Heading1"/>
        <w:pBdr>
          <w:bottom w:val="single" w:color="1B365D" w:sz="12" w:space="8"/>
        </w:pBdr>
        <w:spacing w:after="200" w:before="400"/>
      </w:pPr>
      <w:r>
        <w:rPr>
          <w:rFonts w:ascii="Arial" w:cs="Arial" w:eastAsia="Arial" w:hAnsi="Arial"/>
          <w:b/>
          <w:bCs/>
          <w:color w:val="1B365D"/>
          <w:sz w:val="32"/>
          <w:szCs w:val="32"/>
        </w:rPr>
        <w:t xml:space="preserve">X. Încheiere</w:t>
      </w:r>
    </w:p>
    <w:p>
      <w:pPr>
        <w:spacing w:after="160" w:before="0" w:line="276"/>
        <w:jc w:val="both"/>
      </w:pPr>
      <w:r>
        <w:rPr>
          <w:rFonts w:ascii="Georgia" w:cs="Georgia" w:eastAsia="Georgia" w:hAnsi="Georgia"/>
          <w:color w:val="222222"/>
          <w:sz w:val="22"/>
          <w:szCs w:val="22"/>
        </w:rPr>
        <w:t xml:space="preserve">PNL, USR și UDMR nu au aceeași biografie. Au însă același interes de mandat: o Românie în care statul nu mai este un cost de tranzacție, în care munca bate privilegiul, în care un copil din Odorheiu Secuiesc, din Caracal sau din Iași are acces la o școală care îl pregătește și la un spital care nu îl refuză, și în care apartenența etnică nu este nici stigmat, nici scut împotriva legii.</w:t>
      </w:r>
    </w:p>
    <w:p>
      <w:pPr>
        <w:spacing w:after="160" w:before="0" w:line="276"/>
        <w:jc w:val="both"/>
      </w:pPr>
      <w:r>
        <w:rPr>
          <w:rFonts w:ascii="Georgia" w:cs="Georgia" w:eastAsia="Georgia" w:hAnsi="Georgia"/>
          <w:color w:val="222222"/>
          <w:sz w:val="22"/>
          <w:szCs w:val="22"/>
        </w:rPr>
        <w:t xml:space="preserve">Acesta este programul. Restul este disciplină de implementare.</w:t>
      </w:r>
    </w:p>
    <w:p>
      <w:pPr>
        <w:spacing w:before="400"/>
        <w:jc w:val="center"/>
      </w:pPr>
      <w:r>
        <w:rPr>
          <w:rFonts w:ascii="Arial" w:cs="Arial" w:eastAsia="Arial" w:hAnsi="Arial"/>
          <w:i/>
          <w:iCs/>
          <w:color w:val="888888"/>
          <w:sz w:val="18"/>
          <w:szCs w:val="18"/>
        </w:rPr>
        <w:t xml:space="preserve">—  Sfârșitul documentului  —</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B896" w:sz="6" w:space="8"/>
      </w:pBdr>
      <w:jc w:val="center"/>
    </w:pPr>
    <w:r>
      <w:rPr>
        <w:rFonts w:ascii="Arial" w:cs="Arial" w:eastAsia="Arial" w:hAnsi="Arial"/>
        <w:color w:val="888888"/>
        <w:sz w:val="16"/>
        <w:szCs w:val="16"/>
      </w:rPr>
      <w:t xml:space="preserve">România europeană, competitivă și respectuoasă față de cetățeni  ·  pag.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888888"/>
        <w:sz w:val="16"/>
        <w:szCs w:val="16"/>
      </w:rPr>
      <w:t xml:space="preserve">Program de guvernare 2026–2028  ·  Coaliția PNL – USR – UDMR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abstractNum w:abstractNumId="5" w15:restartNumberingAfterBreak="0">
    <w:multiLevelType w:val="hybridMultilevel"/>
    <w:lvl w:ilvl="0" w15:tentative="1">
      <w:start w:val="1"/>
      <w:numFmt w:val="bullet"/>
      <w:lvlText w:val="•"/>
      <w:lvlJc w:val="left"/>
      <w:pPr>
        <w:ind w:left="720" w:hanging="360"/>
      </w:pPr>
    </w:lvl>
  </w:abstractNum>
  <w:abstractNum w:abstractNumId="6" w15:restartNumberingAfterBreak="0">
    <w:multiLevelType w:val="hybridMultilevel"/>
    <w:lvl w:ilvl="0" w15:tentative="1">
      <w:start w:val="1"/>
      <w:numFmt w:val="bullet"/>
      <w:lvlText w:val="•"/>
      <w:lvlJc w:val="left"/>
      <w:pPr>
        <w:ind w:left="720" w:hanging="360"/>
      </w:pPr>
    </w:lvl>
  </w:abstractNum>
  <w:abstractNum w:abstractNumId="7" w15:restartNumberingAfterBreak="0">
    <w:multiLevelType w:val="hybridMultilevel"/>
    <w:lvl w:ilvl="0" w15:tentative="1">
      <w:start w:val="1"/>
      <w:numFmt w:val="bullet"/>
      <w:lvlText w:val="•"/>
      <w:lvlJc w:val="left"/>
      <w:pPr>
        <w:ind w:left="720" w:hanging="360"/>
      </w:pPr>
    </w:lvl>
  </w:abstractNum>
  <w:abstractNum w:abstractNumId="8" w15:restartNumberingAfterBreak="0">
    <w:multiLevelType w:val="hybridMultilevel"/>
    <w:lvl w:ilvl="0" w15:tentative="1">
      <w:start w:val="1"/>
      <w:numFmt w:val="bullet"/>
      <w:lvlText w:val="•"/>
      <w:lvlJc w:val="left"/>
      <w:pPr>
        <w:ind w:left="720" w:hanging="360"/>
      </w:pPr>
    </w:lvl>
  </w:abstractNum>
  <w:abstractNum w:abstractNumId="9" w15:restartNumberingAfterBreak="0">
    <w:multiLevelType w:val="hybridMultilevel"/>
    <w:lvl w:ilvl="0" w15:tentative="1">
      <w:start w:val="1"/>
      <w:numFmt w:val="bullet"/>
      <w:lvlText w:val="•"/>
      <w:lvlJc w:val="left"/>
      <w:pPr>
        <w:ind w:left="720" w:hanging="360"/>
      </w:pPr>
    </w:lvl>
  </w:abstractNum>
  <w:abstractNum w:abstractNumId="10" w15:restartNumberingAfterBreak="0">
    <w:multiLevelType w:val="hybridMultilevel"/>
    <w:lvl w:ilvl="0" w15:tentative="1">
      <w:start w:val="1"/>
      <w:numFmt w:val="bullet"/>
      <w:lvlText w:val="•"/>
      <w:lvlJc w:val="left"/>
      <w:pPr>
        <w:ind w:left="720" w:hanging="360"/>
      </w:pPr>
    </w:lvl>
  </w:abstractNum>
  <w:abstractNum w:abstractNumId="11" w15:restartNumberingAfterBreak="0">
    <w:multiLevelType w:val="hybridMultilevel"/>
    <w:lvl w:ilvl="0" w15:tentative="1">
      <w:start w:val="1"/>
      <w:numFmt w:val="bullet"/>
      <w:lvlText w:val="•"/>
      <w:lvlJc w:val="left"/>
      <w:pPr>
        <w:ind w:left="720" w:hanging="360"/>
      </w:pPr>
    </w:lvl>
  </w:abstractNum>
  <w:abstractNum w:abstractNumId="12" w15:restartNumberingAfterBreak="0">
    <w:multiLevelType w:val="hybridMultilevel"/>
    <w:lvl w:ilvl="0" w15:tentative="1">
      <w:start w:val="1"/>
      <w:numFmt w:val="bullet"/>
      <w:lvlText w:val="•"/>
      <w:lvlJc w:val="left"/>
      <w:pPr>
        <w:ind w:left="720" w:hanging="360"/>
      </w:pPr>
    </w:lvl>
  </w:abstractNum>
  <w:abstractNum w:abstractNumId="13" w15:restartNumberingAfterBreak="0">
    <w:multiLevelType w:val="hybridMultilevel"/>
    <w:lvl w:ilvl="0" w15:tentative="1">
      <w:start w:val="1"/>
      <w:numFmt w:val="bullet"/>
      <w:lvlText w:val="•"/>
      <w:lvlJc w:val="left"/>
      <w:pPr>
        <w:ind w:left="720" w:hanging="360"/>
      </w:pPr>
    </w:lvl>
  </w:abstractNum>
  <w:abstractNum w:abstractNumId="14" w15:restartNumberingAfterBreak="0">
    <w:multiLevelType w:val="hybridMultilevel"/>
    <w:lvl w:ilvl="0" w15:tentative="1">
      <w:start w:val="1"/>
      <w:numFmt w:val="bullet"/>
      <w:lvlText w:val="•"/>
      <w:lvlJc w:val="left"/>
      <w:pPr>
        <w:ind w:left="720" w:hanging="360"/>
      </w:pPr>
    </w:lvl>
  </w:abstractNum>
  <w:abstractNum w:abstractNumId="15" w15:restartNumberingAfterBreak="0">
    <w:multiLevelType w:val="hybridMultilevel"/>
    <w:lvl w:ilvl="0" w15:tentative="1">
      <w:start w:val="1"/>
      <w:numFmt w:val="bullet"/>
      <w:lvlText w:val="•"/>
      <w:lvlJc w:val="left"/>
      <w:pPr>
        <w:ind w:left="720" w:hanging="360"/>
      </w:pPr>
    </w:lvl>
  </w:abstractNum>
  <w:abstractNum w:abstractNumId="16"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11"/>
    <w:lvlOverride w:ilvl="0">
      <w:startOverride w:val="1"/>
    </w:lvlOverride>
  </w:num>
  <w:num w:numId="11">
    <w:abstractNumId w:val="12"/>
    <w:lvlOverride w:ilvl="0">
      <w:startOverride w:val="1"/>
    </w:lvlOverride>
  </w:num>
  <w:num w:numId="12">
    <w:abstractNumId w:val="13"/>
    <w:lvlOverride w:ilvl="0">
      <w:startOverride w:val="1"/>
    </w:lvlOverride>
  </w:num>
  <w:num w:numId="13">
    <w:abstractNumId w:val="14"/>
    <w:lvlOverride w:ilvl="0">
      <w:startOverride w:val="1"/>
    </w:lvlOverride>
  </w:num>
  <w:num w:numId="14">
    <w:abstractNumId w:val="15"/>
    <w:lvlOverride w:ilvl="0">
      <w:startOverride w:val="1"/>
    </w:lvlOverride>
  </w:num>
  <w:num w:numId="15">
    <w:abstractNumId w:val="16"/>
    <w:lvlOverride w:ilvl="0">
      <w:startOverride w:val="1"/>
    </w:lvlOverride>
  </w:num>
  <w:num w:numId="1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Arial" w:cs="Arial" w:eastAsia="Arial" w:hAnsi="Arial"/>
      <w:b/>
      <w:bCs/>
      <w:color w:val="1B365D"/>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0E4D5C"/>
      <w:sz w:val="26"/>
      <w:szCs w:val="26"/>
    </w:rPr>
  </w:style>
  <w:style w:type="paragraph" w:styleId="Heading3">
    <w:name w:val="Heading 3"/>
    <w:basedOn w:val="Normal"/>
    <w:next w:val="Normal"/>
    <w:qFormat/>
    <w:pPr>
      <w:spacing w:after="80" w:before="200"/>
      <w:outlineLvl w:val="2"/>
    </w:pPr>
    <w:rPr>
      <w:rFonts w:ascii="Arial" w:cs="Arial" w:eastAsia="Arial" w:hAnsi="Arial"/>
      <w:b/>
      <w:bCs/>
      <w:color w:val="8B691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2026-09-23T21:40:21.654Z</dcterms:created>
  <dcterms:modified xsi:type="dcterms:W3CDTF">2026-09-23T21:40:21.654Z</dcterms:modified>
</cp:coreProperties>
</file>

<file path=docProps/custom.xml><?xml version="1.0" encoding="utf-8"?>
<Properties xmlns="http://schemas.openxmlformats.org/officeDocument/2006/custom-properties" xmlns:vt="http://schemas.openxmlformats.org/officeDocument/2006/docPropsVTypes"/>
</file>